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79C" w:rsidRDefault="0058479C" w:rsidP="0058479C">
      <w:pPr>
        <w:pStyle w:val="Hlavika"/>
      </w:pPr>
    </w:p>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58479C" w:rsidRDefault="0058479C" w:rsidP="0058479C"/>
    <w:p w:rsidR="002C1771" w:rsidRDefault="002C1771" w:rsidP="0058479C"/>
    <w:p w:rsidR="002C1771" w:rsidRDefault="002C1771" w:rsidP="0058479C"/>
    <w:p w:rsidR="002C1771" w:rsidRDefault="002C1771" w:rsidP="0058479C"/>
    <w:p w:rsidR="0058479C" w:rsidRDefault="0058479C" w:rsidP="0058479C"/>
    <w:p w:rsidR="0058479C" w:rsidRDefault="0058479C" w:rsidP="0058479C"/>
    <w:p w:rsidR="0058479C" w:rsidRDefault="0058479C" w:rsidP="0058479C"/>
    <w:p w:rsidR="0058479C" w:rsidRDefault="0058479C" w:rsidP="0058479C"/>
    <w:p w:rsidR="0058479C" w:rsidRPr="007160C1" w:rsidRDefault="002C1771" w:rsidP="0058479C">
      <w:pPr>
        <w:jc w:val="center"/>
        <w:rPr>
          <w:b/>
          <w:sz w:val="52"/>
        </w:rPr>
      </w:pPr>
      <w:r>
        <w:rPr>
          <w:b/>
          <w:sz w:val="52"/>
        </w:rPr>
        <w:t>Príloha k</w:t>
      </w:r>
      <w:r w:rsidR="0058479C" w:rsidRPr="007160C1">
        <w:rPr>
          <w:b/>
          <w:sz w:val="52"/>
        </w:rPr>
        <w:t xml:space="preserve"> účtovn</w:t>
      </w:r>
      <w:r>
        <w:rPr>
          <w:b/>
          <w:sz w:val="52"/>
        </w:rPr>
        <w:t>ej</w:t>
      </w:r>
      <w:r w:rsidR="0058479C" w:rsidRPr="007160C1">
        <w:rPr>
          <w:b/>
          <w:sz w:val="52"/>
        </w:rPr>
        <w:t xml:space="preserve"> závierk</w:t>
      </w:r>
      <w:r>
        <w:rPr>
          <w:b/>
          <w:sz w:val="52"/>
        </w:rPr>
        <w:t>e</w:t>
      </w:r>
    </w:p>
    <w:p w:rsidR="0058479C" w:rsidRPr="007160C1" w:rsidRDefault="0058479C" w:rsidP="0058479C">
      <w:pPr>
        <w:jc w:val="center"/>
        <w:rPr>
          <w:b/>
          <w:sz w:val="40"/>
        </w:rPr>
      </w:pPr>
      <w:r w:rsidRPr="007160C1">
        <w:rPr>
          <w:b/>
          <w:sz w:val="40"/>
        </w:rPr>
        <w:t>zostavená podľa slovenských právnych predpisov</w:t>
      </w:r>
    </w:p>
    <w:p w:rsidR="0058479C" w:rsidRPr="007160C1" w:rsidRDefault="0058479C" w:rsidP="0058479C">
      <w:pPr>
        <w:jc w:val="center"/>
        <w:rPr>
          <w:b/>
          <w:sz w:val="40"/>
        </w:rPr>
      </w:pPr>
      <w:r w:rsidRPr="007160C1">
        <w:rPr>
          <w:b/>
          <w:sz w:val="40"/>
        </w:rPr>
        <w:t xml:space="preserve">k 31. decembru </w:t>
      </w:r>
      <w:r>
        <w:rPr>
          <w:b/>
          <w:sz w:val="40"/>
        </w:rPr>
        <w:t>201</w:t>
      </w:r>
      <w:r w:rsidR="004C4FDC">
        <w:rPr>
          <w:b/>
          <w:sz w:val="40"/>
        </w:rPr>
        <w:t>2</w:t>
      </w:r>
    </w:p>
    <w:p w:rsidR="0058479C" w:rsidRPr="007160C1" w:rsidRDefault="0058479C" w:rsidP="0058479C">
      <w:pPr>
        <w:jc w:val="center"/>
        <w:rPr>
          <w:b/>
          <w:sz w:val="40"/>
        </w:rPr>
      </w:pPr>
    </w:p>
    <w:p w:rsidR="0058479C" w:rsidRPr="007160C1" w:rsidRDefault="002C1771" w:rsidP="0058479C">
      <w:pPr>
        <w:jc w:val="center"/>
        <w:rPr>
          <w:sz w:val="32"/>
        </w:rPr>
      </w:pPr>
      <w:r>
        <w:rPr>
          <w:sz w:val="32"/>
        </w:rPr>
        <w:t xml:space="preserve">Február </w:t>
      </w:r>
      <w:r w:rsidR="0058479C" w:rsidRPr="007160C1">
        <w:rPr>
          <w:sz w:val="32"/>
        </w:rPr>
        <w:t xml:space="preserve"> </w:t>
      </w:r>
      <w:r w:rsidR="0058479C">
        <w:rPr>
          <w:sz w:val="32"/>
        </w:rPr>
        <w:t>201</w:t>
      </w:r>
      <w:r w:rsidR="004C4FDC">
        <w:rPr>
          <w:sz w:val="32"/>
        </w:rPr>
        <w:t>3</w:t>
      </w:r>
    </w:p>
    <w:p w:rsidR="0058479C" w:rsidRPr="007160C1" w:rsidRDefault="0058479C" w:rsidP="0058479C">
      <w:pPr>
        <w:jc w:val="center"/>
        <w:rPr>
          <w:sz w:val="32"/>
        </w:rPr>
      </w:pPr>
    </w:p>
    <w:p w:rsidR="0058479C" w:rsidRDefault="0058479C" w:rsidP="0058479C">
      <w:pPr>
        <w:spacing w:after="200" w:line="276" w:lineRule="auto"/>
        <w:sectPr w:rsidR="0058479C" w:rsidSect="005B316E">
          <w:headerReference w:type="even" r:id="rId8"/>
          <w:headerReference w:type="default" r:id="rId9"/>
          <w:footerReference w:type="even" r:id="rId10"/>
          <w:footerReference w:type="default" r:id="rId11"/>
          <w:headerReference w:type="first" r:id="rId12"/>
          <w:footerReference w:type="first" r:id="rId13"/>
          <w:pgSz w:w="11907" w:h="16840" w:code="9"/>
          <w:pgMar w:top="1979" w:right="1021" w:bottom="1134" w:left="1673" w:header="675" w:footer="408" w:gutter="0"/>
          <w:cols w:space="708"/>
          <w:titlePg/>
        </w:sectPr>
      </w:pPr>
    </w:p>
    <w:p w:rsidR="004D3B4A" w:rsidRPr="007752E5" w:rsidRDefault="004D3B4A" w:rsidP="004D3B4A">
      <w:pPr>
        <w:pStyle w:val="Uvod"/>
        <w:ind w:left="0" w:firstLine="0"/>
        <w:rPr>
          <w:sz w:val="20"/>
          <w:highlight w:val="yellow"/>
        </w:rPr>
      </w:pPr>
    </w:p>
    <w:tbl>
      <w:tblPr>
        <w:tblW w:w="5597" w:type="pct"/>
        <w:jc w:val="center"/>
        <w:tblLayout w:type="fixed"/>
        <w:tblCellMar>
          <w:left w:w="70" w:type="dxa"/>
          <w:right w:w="70" w:type="dxa"/>
        </w:tblCellMar>
        <w:tblLook w:val="04A0"/>
      </w:tblPr>
      <w:tblGrid>
        <w:gridCol w:w="7530"/>
        <w:gridCol w:w="2307"/>
        <w:gridCol w:w="632"/>
      </w:tblGrid>
      <w:tr w:rsidR="004007CA" w:rsidRPr="002B2E75" w:rsidTr="008A2D79">
        <w:trPr>
          <w:trHeight w:val="57"/>
          <w:jc w:val="center"/>
        </w:trPr>
        <w:tc>
          <w:tcPr>
            <w:tcW w:w="3596" w:type="pct"/>
            <w:tcBorders>
              <w:top w:val="nil"/>
              <w:left w:val="nil"/>
              <w:bottom w:val="nil"/>
              <w:right w:val="single" w:sz="4" w:space="0" w:color="auto"/>
            </w:tcBorders>
            <w:noWrap/>
          </w:tcPr>
          <w:p w:rsidR="008A2D79" w:rsidRPr="002B2E75" w:rsidRDefault="008A2D79" w:rsidP="00F91913">
            <w:pPr>
              <w:rPr>
                <w:rFonts w:cs="Arial"/>
                <w:szCs w:val="22"/>
                <w:lang w:eastAsia="sk-SK"/>
              </w:rPr>
            </w:pPr>
          </w:p>
        </w:tc>
        <w:tc>
          <w:tcPr>
            <w:tcW w:w="1102" w:type="pct"/>
            <w:tcBorders>
              <w:top w:val="single" w:sz="4" w:space="0" w:color="auto"/>
              <w:left w:val="single" w:sz="4" w:space="0" w:color="auto"/>
              <w:bottom w:val="single" w:sz="4" w:space="0" w:color="auto"/>
              <w:right w:val="single" w:sz="4" w:space="0" w:color="auto"/>
            </w:tcBorders>
            <w:noWrap/>
          </w:tcPr>
          <w:p w:rsidR="008A2D79" w:rsidRPr="002B2E75" w:rsidRDefault="008A2D79" w:rsidP="00F91913">
            <w:pPr>
              <w:rPr>
                <w:rFonts w:cs="Arial"/>
                <w:szCs w:val="22"/>
                <w:lang w:eastAsia="sk-SK"/>
              </w:rPr>
            </w:pPr>
            <w:r w:rsidRPr="002B2E75">
              <w:rPr>
                <w:rFonts w:cs="Arial"/>
                <w:szCs w:val="22"/>
                <w:lang w:eastAsia="sk-SK"/>
              </w:rPr>
              <w:t xml:space="preserve">Poznámky </w:t>
            </w:r>
            <w:proofErr w:type="spellStart"/>
            <w:r w:rsidRPr="002B2E75">
              <w:rPr>
                <w:rFonts w:cs="Arial"/>
                <w:szCs w:val="22"/>
                <w:lang w:eastAsia="sk-SK"/>
              </w:rPr>
              <w:t>Úč</w:t>
            </w:r>
            <w:proofErr w:type="spellEnd"/>
            <w:r w:rsidRPr="002B2E75">
              <w:rPr>
                <w:rFonts w:cs="Arial"/>
                <w:szCs w:val="22"/>
                <w:lang w:eastAsia="sk-SK"/>
              </w:rPr>
              <w:t xml:space="preserve"> POD 3 - 04 </w:t>
            </w:r>
          </w:p>
        </w:tc>
        <w:tc>
          <w:tcPr>
            <w:tcW w:w="302" w:type="pct"/>
            <w:tcBorders>
              <w:top w:val="nil"/>
              <w:left w:val="nil"/>
              <w:bottom w:val="nil"/>
              <w:right w:val="nil"/>
            </w:tcBorders>
            <w:noWrap/>
          </w:tcPr>
          <w:p w:rsidR="008A2D79" w:rsidRPr="002B2E75" w:rsidRDefault="008A2D79" w:rsidP="00F91913">
            <w:pPr>
              <w:rPr>
                <w:rFonts w:cs="Arial"/>
                <w:szCs w:val="22"/>
                <w:lang w:eastAsia="sk-SK"/>
              </w:rPr>
            </w:pPr>
          </w:p>
        </w:tc>
      </w:tr>
    </w:tbl>
    <w:p w:rsidR="00E34DCA" w:rsidRDefault="00E34DCA">
      <w:pPr>
        <w:pStyle w:val="Zkladntext"/>
        <w:ind w:left="0"/>
        <w:jc w:val="center"/>
        <w:rPr>
          <w:b/>
          <w:sz w:val="24"/>
        </w:rPr>
      </w:pPr>
    </w:p>
    <w:p w:rsidR="00E34DCA" w:rsidRDefault="004D3B4A">
      <w:pPr>
        <w:pStyle w:val="Zkladntext"/>
        <w:ind w:left="0"/>
        <w:jc w:val="center"/>
        <w:rPr>
          <w:b/>
          <w:sz w:val="24"/>
        </w:rPr>
      </w:pPr>
      <w:r w:rsidRPr="00FA0C14">
        <w:rPr>
          <w:b/>
          <w:sz w:val="24"/>
        </w:rPr>
        <w:t>Poznámky</w:t>
      </w:r>
    </w:p>
    <w:p w:rsidR="00E34DCA" w:rsidRDefault="00D72087">
      <w:pPr>
        <w:pStyle w:val="Zkladntext"/>
        <w:ind w:left="0"/>
        <w:jc w:val="center"/>
        <w:rPr>
          <w:b/>
          <w:sz w:val="24"/>
        </w:rPr>
      </w:pPr>
      <w:r>
        <w:rPr>
          <w:b/>
          <w:sz w:val="24"/>
        </w:rPr>
        <w:t xml:space="preserve">individuálnej </w:t>
      </w:r>
      <w:r w:rsidR="004D3B4A" w:rsidRPr="00FA0C14">
        <w:rPr>
          <w:b/>
          <w:sz w:val="24"/>
        </w:rPr>
        <w:t>účtovnej závierk</w:t>
      </w:r>
      <w:r w:rsidR="004D3B4A">
        <w:rPr>
          <w:b/>
          <w:sz w:val="24"/>
        </w:rPr>
        <w:t>y</w:t>
      </w:r>
      <w:r w:rsidR="004D3B4A" w:rsidRPr="00FA0C14">
        <w:rPr>
          <w:b/>
          <w:sz w:val="24"/>
        </w:rPr>
        <w:t xml:space="preserve"> </w:t>
      </w:r>
    </w:p>
    <w:p w:rsidR="00E34DCA" w:rsidRDefault="00D72087">
      <w:pPr>
        <w:pStyle w:val="Zkladntext"/>
        <w:ind w:left="0"/>
        <w:jc w:val="center"/>
        <w:rPr>
          <w:b/>
          <w:sz w:val="24"/>
        </w:rPr>
      </w:pPr>
      <w:r>
        <w:rPr>
          <w:b/>
          <w:sz w:val="24"/>
        </w:rPr>
        <w:t xml:space="preserve">zostavenej </w:t>
      </w:r>
      <w:r w:rsidR="004D3B4A" w:rsidRPr="00FA0C14">
        <w:rPr>
          <w:b/>
          <w:sz w:val="24"/>
        </w:rPr>
        <w:t xml:space="preserve">k 31. </w:t>
      </w:r>
      <w:r w:rsidR="004D3B4A">
        <w:rPr>
          <w:b/>
          <w:sz w:val="24"/>
        </w:rPr>
        <w:t>decembru</w:t>
      </w:r>
      <w:r w:rsidR="004D3B4A" w:rsidRPr="00FA0C14">
        <w:rPr>
          <w:b/>
          <w:sz w:val="24"/>
        </w:rPr>
        <w:t xml:space="preserve"> </w:t>
      </w:r>
      <w:r w:rsidR="004D3B4A">
        <w:rPr>
          <w:b/>
          <w:sz w:val="24"/>
        </w:rPr>
        <w:t>201</w:t>
      </w:r>
      <w:r w:rsidR="00014193">
        <w:rPr>
          <w:b/>
          <w:sz w:val="24"/>
        </w:rPr>
        <w:t>2</w:t>
      </w:r>
    </w:p>
    <w:p w:rsidR="000A1BBA" w:rsidRDefault="000A1BBA" w:rsidP="004D3B4A">
      <w:pPr>
        <w:pStyle w:val="Zkladntext"/>
        <w:ind w:left="0"/>
        <w:rPr>
          <w:b/>
          <w:sz w:val="24"/>
        </w:rPr>
      </w:pPr>
    </w:p>
    <w:p w:rsidR="001A1C39" w:rsidRPr="00FA0C14" w:rsidRDefault="001A1C39" w:rsidP="004D3B4A">
      <w:pPr>
        <w:pStyle w:val="Zkladntext"/>
        <w:ind w:left="0"/>
        <w:rPr>
          <w:b/>
          <w:sz w:val="24"/>
        </w:rPr>
      </w:pPr>
    </w:p>
    <w:p w:rsidR="004D3B4A" w:rsidRDefault="004D3B4A" w:rsidP="004D3B4A">
      <w:pPr>
        <w:pStyle w:val="Zkladntext"/>
        <w:ind w:left="0"/>
        <w:rPr>
          <w:sz w:val="24"/>
        </w:rPr>
      </w:pPr>
    </w:p>
    <w:tbl>
      <w:tblPr>
        <w:tblW w:w="5055" w:type="pct"/>
        <w:jc w:val="center"/>
        <w:tblLayout w:type="fixed"/>
        <w:tblCellMar>
          <w:left w:w="70" w:type="dxa"/>
          <w:right w:w="70" w:type="dxa"/>
        </w:tblCellMar>
        <w:tblLook w:val="04A0"/>
      </w:tblPr>
      <w:tblGrid>
        <w:gridCol w:w="309"/>
        <w:gridCol w:w="287"/>
        <w:gridCol w:w="340"/>
        <w:gridCol w:w="240"/>
        <w:gridCol w:w="280"/>
        <w:gridCol w:w="246"/>
        <w:gridCol w:w="253"/>
        <w:gridCol w:w="248"/>
        <w:gridCol w:w="252"/>
        <w:gridCol w:w="282"/>
        <w:gridCol w:w="284"/>
        <w:gridCol w:w="252"/>
        <w:gridCol w:w="248"/>
        <w:gridCol w:w="265"/>
        <w:gridCol w:w="234"/>
        <w:gridCol w:w="297"/>
        <w:gridCol w:w="238"/>
        <w:gridCol w:w="210"/>
        <w:gridCol w:w="28"/>
        <w:gridCol w:w="240"/>
        <w:gridCol w:w="356"/>
        <w:gridCol w:w="217"/>
        <w:gridCol w:w="252"/>
        <w:gridCol w:w="30"/>
        <w:gridCol w:w="289"/>
        <w:gridCol w:w="223"/>
        <w:gridCol w:w="112"/>
        <w:gridCol w:w="129"/>
        <w:gridCol w:w="174"/>
        <w:gridCol w:w="66"/>
        <w:gridCol w:w="210"/>
        <w:gridCol w:w="47"/>
        <w:gridCol w:w="6"/>
        <w:gridCol w:w="267"/>
        <w:gridCol w:w="284"/>
        <w:gridCol w:w="265"/>
        <w:gridCol w:w="70"/>
        <w:gridCol w:w="183"/>
        <w:gridCol w:w="130"/>
        <w:gridCol w:w="178"/>
        <w:gridCol w:w="76"/>
        <w:gridCol w:w="183"/>
        <w:gridCol w:w="74"/>
        <w:gridCol w:w="172"/>
        <w:gridCol w:w="255"/>
        <w:gridCol w:w="174"/>
      </w:tblGrid>
      <w:tr w:rsidR="004007CA" w:rsidRPr="00D72087" w:rsidTr="000A1BBA">
        <w:trPr>
          <w:trHeight w:val="57"/>
          <w:jc w:val="center"/>
        </w:trPr>
        <w:tc>
          <w:tcPr>
            <w:tcW w:w="164"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52"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8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48"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ind w:left="426"/>
              <w:jc w:val="both"/>
              <w:rPr>
                <w:rFonts w:cs="Arial"/>
                <w:sz w:val="18"/>
                <w:szCs w:val="18"/>
                <w:lang w:eastAsia="sk-SK"/>
              </w:rPr>
            </w:pPr>
          </w:p>
        </w:tc>
        <w:tc>
          <w:tcPr>
            <w:tcW w:w="157" w:type="pct"/>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v</w:t>
            </w:r>
          </w:p>
        </w:tc>
        <w:tc>
          <w:tcPr>
            <w:tcW w:w="126" w:type="pct"/>
            <w:tcBorders>
              <w:top w:val="nil"/>
              <w:left w:val="nil"/>
              <w:bottom w:val="nil"/>
              <w:right w:val="single" w:sz="6" w:space="0" w:color="auto"/>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single" w:sz="6" w:space="0" w:color="auto"/>
              <w:bottom w:val="single" w:sz="6" w:space="0" w:color="auto"/>
              <w:right w:val="single" w:sz="6" w:space="0" w:color="auto"/>
            </w:tcBorders>
            <w:noWrap/>
          </w:tcPr>
          <w:p w:rsidR="00D72087" w:rsidRPr="00D72087" w:rsidRDefault="00D72087" w:rsidP="00D72087">
            <w:pPr>
              <w:rPr>
                <w:rFonts w:cs="Arial"/>
                <w:sz w:val="18"/>
                <w:szCs w:val="18"/>
                <w:lang w:eastAsia="sk-SK"/>
              </w:rPr>
            </w:pPr>
          </w:p>
        </w:tc>
        <w:tc>
          <w:tcPr>
            <w:tcW w:w="127" w:type="pct"/>
            <w:tcBorders>
              <w:top w:val="nil"/>
              <w:left w:val="single" w:sz="6" w:space="0" w:color="auto"/>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976" w:type="pct"/>
            <w:gridSpan w:val="10"/>
            <w:tcBorders>
              <w:top w:val="nil"/>
              <w:left w:val="nil"/>
              <w:bottom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xml:space="preserve"> </w:t>
            </w:r>
            <w:proofErr w:type="spellStart"/>
            <w:r w:rsidRPr="00AD6758">
              <w:rPr>
                <w:rFonts w:cs="Arial"/>
                <w:sz w:val="18"/>
                <w:szCs w:val="18"/>
                <w:lang w:eastAsia="sk-SK"/>
              </w:rPr>
              <w:t>eurocentoch</w:t>
            </w:r>
            <w:proofErr w:type="spellEnd"/>
          </w:p>
        </w:tc>
        <w:tc>
          <w:tcPr>
            <w:tcW w:w="139" w:type="pct"/>
            <w:gridSpan w:val="3"/>
            <w:noWrap/>
          </w:tcPr>
          <w:p w:rsidR="00D72087" w:rsidRPr="00D72087" w:rsidRDefault="00D72087" w:rsidP="00D72087">
            <w:pPr>
              <w:rPr>
                <w:rFonts w:cs="Arial"/>
                <w:sz w:val="18"/>
                <w:szCs w:val="18"/>
                <w:lang w:eastAsia="sk-SK"/>
              </w:rPr>
            </w:pPr>
          </w:p>
        </w:tc>
        <w:tc>
          <w:tcPr>
            <w:tcW w:w="141" w:type="pct"/>
            <w:tcBorders>
              <w:right w:val="single" w:sz="6" w:space="0" w:color="auto"/>
            </w:tcBorders>
            <w:noWrap/>
          </w:tcPr>
          <w:p w:rsidR="00D72087" w:rsidRPr="00D72087" w:rsidRDefault="00D72087" w:rsidP="00D72087">
            <w:pPr>
              <w:rPr>
                <w:rFonts w:cs="Arial"/>
                <w:sz w:val="18"/>
                <w:szCs w:val="18"/>
                <w:lang w:eastAsia="sk-SK"/>
              </w:rPr>
            </w:pPr>
          </w:p>
        </w:tc>
        <w:tc>
          <w:tcPr>
            <w:tcW w:w="150" w:type="pct"/>
            <w:tcBorders>
              <w:top w:val="single" w:sz="6" w:space="0" w:color="auto"/>
              <w:left w:val="single" w:sz="6" w:space="0" w:color="auto"/>
              <w:bottom w:val="single" w:sz="6" w:space="0" w:color="auto"/>
              <w:right w:val="single" w:sz="6" w:space="0" w:color="auto"/>
            </w:tcBorders>
            <w:noWrap/>
          </w:tcPr>
          <w:p w:rsidR="00D72087" w:rsidRPr="00D72087" w:rsidRDefault="00D72087" w:rsidP="00D72087">
            <w:pPr>
              <w:rPr>
                <w:rFonts w:cs="Arial"/>
                <w:sz w:val="18"/>
                <w:szCs w:val="18"/>
                <w:lang w:eastAsia="sk-SK"/>
              </w:rPr>
            </w:pPr>
            <w:r>
              <w:rPr>
                <w:rFonts w:cs="Arial"/>
                <w:sz w:val="18"/>
                <w:szCs w:val="18"/>
                <w:lang w:eastAsia="sk-SK"/>
              </w:rPr>
              <w:t>x</w:t>
            </w:r>
          </w:p>
        </w:tc>
        <w:tc>
          <w:tcPr>
            <w:tcW w:w="937" w:type="pct"/>
            <w:gridSpan w:val="11"/>
            <w:tcBorders>
              <w:left w:val="single" w:sz="6" w:space="0" w:color="auto"/>
            </w:tcBorders>
          </w:tcPr>
          <w:p w:rsidR="00D72087" w:rsidRPr="00D72087" w:rsidRDefault="00D72087" w:rsidP="00D72087">
            <w:pPr>
              <w:rPr>
                <w:rFonts w:cs="Arial"/>
                <w:sz w:val="18"/>
                <w:szCs w:val="18"/>
                <w:lang w:eastAsia="sk-SK"/>
              </w:rPr>
            </w:pPr>
            <w:r>
              <w:rPr>
                <w:rFonts w:cs="Arial"/>
                <w:sz w:val="18"/>
                <w:szCs w:val="18"/>
                <w:lang w:eastAsia="sk-SK"/>
              </w:rPr>
              <w:t>- celých eurách</w:t>
            </w:r>
          </w:p>
        </w:tc>
      </w:tr>
      <w:tr w:rsidR="005B316E" w:rsidRPr="00D72087" w:rsidTr="000A1BBA">
        <w:trPr>
          <w:trHeight w:val="57"/>
          <w:jc w:val="center"/>
        </w:trPr>
        <w:tc>
          <w:tcPr>
            <w:tcW w:w="164" w:type="pct"/>
            <w:tcBorders>
              <w:left w:val="nil"/>
              <w:bottom w:val="nil"/>
              <w:right w:val="nil"/>
            </w:tcBorders>
            <w:noWrap/>
          </w:tcPr>
          <w:p w:rsidR="00D72087" w:rsidRPr="00D72087" w:rsidRDefault="00D72087" w:rsidP="00D72087">
            <w:pPr>
              <w:rPr>
                <w:rFonts w:cs="Arial"/>
                <w:sz w:val="18"/>
                <w:szCs w:val="18"/>
                <w:lang w:eastAsia="sk-SK"/>
              </w:rPr>
            </w:pPr>
          </w:p>
        </w:tc>
        <w:tc>
          <w:tcPr>
            <w:tcW w:w="152" w:type="pct"/>
            <w:tcBorders>
              <w:left w:val="nil"/>
              <w:bottom w:val="nil"/>
              <w:right w:val="nil"/>
            </w:tcBorders>
            <w:noWrap/>
          </w:tcPr>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80"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48" w:type="pct"/>
            <w:tcBorders>
              <w:left w:val="nil"/>
              <w:bottom w:val="nil"/>
              <w:right w:val="nil"/>
            </w:tcBorders>
            <w:noWrap/>
          </w:tcPr>
          <w:p w:rsidR="00D72087" w:rsidRPr="00D72087" w:rsidRDefault="00D72087" w:rsidP="00D72087">
            <w:pPr>
              <w:rPr>
                <w:rFonts w:cs="Arial"/>
                <w:sz w:val="18"/>
                <w:szCs w:val="18"/>
                <w:lang w:eastAsia="sk-SK"/>
              </w:rPr>
            </w:pPr>
          </w:p>
        </w:tc>
        <w:tc>
          <w:tcPr>
            <w:tcW w:w="13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49" w:type="pct"/>
            <w:tcBorders>
              <w:left w:val="nil"/>
              <w:bottom w:val="nil"/>
              <w:right w:val="nil"/>
            </w:tcBorders>
            <w:noWrap/>
          </w:tcPr>
          <w:p w:rsidR="00D72087" w:rsidRPr="00D72087" w:rsidRDefault="00D72087" w:rsidP="00D72087">
            <w:pPr>
              <w:rPr>
                <w:rFonts w:cs="Arial"/>
                <w:sz w:val="18"/>
                <w:szCs w:val="18"/>
                <w:lang w:eastAsia="sk-SK"/>
              </w:rPr>
            </w:pPr>
          </w:p>
        </w:tc>
        <w:tc>
          <w:tcPr>
            <w:tcW w:w="150"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406" w:type="pct"/>
            <w:gridSpan w:val="3"/>
            <w:tcBorders>
              <w:left w:val="nil"/>
              <w:bottom w:val="nil"/>
              <w:right w:val="nil"/>
            </w:tcBorders>
            <w:noWrap/>
          </w:tcPr>
          <w:p w:rsidR="00D72087" w:rsidRPr="00D72087" w:rsidRDefault="00D72087" w:rsidP="00D72087">
            <w:pPr>
              <w:rPr>
                <w:rFonts w:cs="Arial"/>
                <w:sz w:val="18"/>
                <w:szCs w:val="18"/>
                <w:lang w:eastAsia="sk-SK"/>
              </w:rPr>
            </w:pPr>
          </w:p>
        </w:tc>
        <w:tc>
          <w:tcPr>
            <w:tcW w:w="441" w:type="pct"/>
            <w:gridSpan w:val="4"/>
            <w:tcBorders>
              <w:left w:val="nil"/>
              <w:right w:val="nil"/>
            </w:tcBorders>
            <w:noWrap/>
          </w:tcPr>
          <w:p w:rsidR="00D72087" w:rsidRPr="00D72087" w:rsidRDefault="00D72087" w:rsidP="00D72087">
            <w:pPr>
              <w:rPr>
                <w:rFonts w:cs="Arial"/>
                <w:sz w:val="18"/>
                <w:szCs w:val="18"/>
                <w:lang w:eastAsia="sk-SK"/>
              </w:rPr>
            </w:pPr>
          </w:p>
        </w:tc>
        <w:tc>
          <w:tcPr>
            <w:tcW w:w="115" w:type="pct"/>
            <w:tcBorders>
              <w:left w:val="nil"/>
              <w:right w:val="nil"/>
            </w:tcBorders>
            <w:noWrap/>
          </w:tcPr>
          <w:p w:rsidR="00D72087" w:rsidRPr="00D72087" w:rsidRDefault="00D72087" w:rsidP="00D72087">
            <w:pPr>
              <w:rPr>
                <w:rFonts w:cs="Arial"/>
                <w:sz w:val="18"/>
                <w:szCs w:val="18"/>
                <w:lang w:eastAsia="sk-SK"/>
              </w:rPr>
            </w:pPr>
          </w:p>
        </w:tc>
        <w:tc>
          <w:tcPr>
            <w:tcW w:w="546" w:type="pct"/>
            <w:gridSpan w:val="6"/>
            <w:tcBorders>
              <w:left w:val="nil"/>
              <w:right w:val="nil"/>
            </w:tcBorders>
            <w:noWrap/>
          </w:tcPr>
          <w:p w:rsidR="00D72087" w:rsidRPr="00D72087" w:rsidRDefault="00D72087" w:rsidP="00D72087">
            <w:pPr>
              <w:rPr>
                <w:rFonts w:cs="Arial"/>
                <w:sz w:val="18"/>
                <w:szCs w:val="18"/>
                <w:lang w:eastAsia="sk-SK"/>
              </w:rPr>
            </w:pPr>
          </w:p>
        </w:tc>
        <w:tc>
          <w:tcPr>
            <w:tcW w:w="407" w:type="pct"/>
            <w:gridSpan w:val="6"/>
            <w:tcBorders>
              <w:left w:val="nil"/>
              <w:right w:val="nil"/>
            </w:tcBorders>
            <w:noWrap/>
          </w:tcPr>
          <w:p w:rsidR="00D72087" w:rsidRPr="00D72087" w:rsidRDefault="00D72087" w:rsidP="00D72087">
            <w:pPr>
              <w:rPr>
                <w:rFonts w:cs="Arial"/>
                <w:sz w:val="18"/>
                <w:szCs w:val="18"/>
                <w:lang w:eastAsia="sk-SK"/>
              </w:rPr>
            </w:pPr>
          </w:p>
        </w:tc>
        <w:tc>
          <w:tcPr>
            <w:tcW w:w="492" w:type="pct"/>
            <w:gridSpan w:val="5"/>
            <w:tcBorders>
              <w:left w:val="nil"/>
              <w:right w:val="nil"/>
            </w:tcBorders>
            <w:noWrap/>
          </w:tcPr>
          <w:p w:rsidR="00D72087" w:rsidRPr="00D72087" w:rsidRDefault="00D72087" w:rsidP="00D72087">
            <w:pPr>
              <w:rPr>
                <w:rFonts w:cs="Arial"/>
                <w:sz w:val="18"/>
                <w:szCs w:val="18"/>
                <w:lang w:eastAsia="sk-SK"/>
              </w:rPr>
            </w:pPr>
          </w:p>
        </w:tc>
        <w:tc>
          <w:tcPr>
            <w:tcW w:w="134" w:type="pct"/>
            <w:gridSpan w:val="2"/>
            <w:tcBorders>
              <w:left w:val="nil"/>
              <w:right w:val="nil"/>
            </w:tcBorders>
            <w:noWrap/>
          </w:tcPr>
          <w:p w:rsidR="00D72087" w:rsidRPr="00D72087" w:rsidRDefault="00D72087" w:rsidP="00D72087">
            <w:pPr>
              <w:rPr>
                <w:rFonts w:cs="Arial"/>
                <w:sz w:val="18"/>
                <w:szCs w:val="18"/>
                <w:lang w:eastAsia="sk-SK"/>
              </w:rPr>
            </w:pPr>
          </w:p>
        </w:tc>
        <w:tc>
          <w:tcPr>
            <w:tcW w:w="461" w:type="pct"/>
            <w:gridSpan w:val="5"/>
            <w:tcBorders>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left w:val="nil"/>
              <w:bottom w:val="nil"/>
              <w:right w:val="nil"/>
            </w:tcBorders>
            <w:noWrap/>
          </w:tcPr>
          <w:p w:rsidR="00D72087" w:rsidRPr="00D72087" w:rsidRDefault="00D72087" w:rsidP="00D72087">
            <w:pPr>
              <w:rPr>
                <w:rFonts w:cs="Arial"/>
                <w:sz w:val="18"/>
                <w:szCs w:val="18"/>
                <w:lang w:eastAsia="sk-SK"/>
              </w:rPr>
            </w:pPr>
          </w:p>
        </w:tc>
        <w:tc>
          <w:tcPr>
            <w:tcW w:w="152" w:type="pct"/>
            <w:tcBorders>
              <w:left w:val="nil"/>
              <w:bottom w:val="nil"/>
              <w:right w:val="nil"/>
            </w:tcBorders>
            <w:noWrap/>
          </w:tcPr>
          <w:p w:rsidR="00D72087" w:rsidRPr="00D72087" w:rsidRDefault="00D72087" w:rsidP="00D72087">
            <w:pPr>
              <w:rPr>
                <w:rFonts w:cs="Arial"/>
                <w:sz w:val="18"/>
                <w:szCs w:val="18"/>
                <w:lang w:eastAsia="sk-SK"/>
              </w:rPr>
            </w:pPr>
          </w:p>
        </w:tc>
        <w:tc>
          <w:tcPr>
            <w:tcW w:w="180"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48" w:type="pct"/>
            <w:tcBorders>
              <w:left w:val="nil"/>
              <w:bottom w:val="nil"/>
              <w:right w:val="nil"/>
            </w:tcBorders>
            <w:noWrap/>
          </w:tcPr>
          <w:p w:rsidR="00D72087" w:rsidRPr="00D72087" w:rsidRDefault="00D72087" w:rsidP="00D72087">
            <w:pPr>
              <w:rPr>
                <w:rFonts w:cs="Arial"/>
                <w:sz w:val="18"/>
                <w:szCs w:val="18"/>
                <w:lang w:eastAsia="sk-SK"/>
              </w:rPr>
            </w:pPr>
          </w:p>
        </w:tc>
        <w:tc>
          <w:tcPr>
            <w:tcW w:w="13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49" w:type="pct"/>
            <w:tcBorders>
              <w:left w:val="nil"/>
              <w:bottom w:val="nil"/>
              <w:right w:val="nil"/>
            </w:tcBorders>
            <w:noWrap/>
          </w:tcPr>
          <w:p w:rsidR="00D72087" w:rsidRPr="00D72087" w:rsidRDefault="00D72087" w:rsidP="00D72087">
            <w:pPr>
              <w:rPr>
                <w:rFonts w:cs="Arial"/>
                <w:sz w:val="18"/>
                <w:szCs w:val="18"/>
                <w:lang w:eastAsia="sk-SK"/>
              </w:rPr>
            </w:pPr>
          </w:p>
        </w:tc>
        <w:tc>
          <w:tcPr>
            <w:tcW w:w="150"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406" w:type="pct"/>
            <w:gridSpan w:val="3"/>
            <w:tcBorders>
              <w:left w:val="nil"/>
              <w:bottom w:val="nil"/>
              <w:right w:val="nil"/>
            </w:tcBorders>
            <w:noWrap/>
          </w:tcPr>
          <w:p w:rsidR="00D72087" w:rsidRPr="00D72087" w:rsidRDefault="00D72087" w:rsidP="00D72087">
            <w:pPr>
              <w:rPr>
                <w:rFonts w:cs="Arial"/>
                <w:sz w:val="18"/>
                <w:szCs w:val="18"/>
                <w:lang w:eastAsia="sk-SK"/>
              </w:rPr>
            </w:pPr>
          </w:p>
        </w:tc>
        <w:tc>
          <w:tcPr>
            <w:tcW w:w="441" w:type="pct"/>
            <w:gridSpan w:val="4"/>
            <w:tcBorders>
              <w:left w:val="nil"/>
              <w:right w:val="nil"/>
            </w:tcBorders>
            <w:noWrap/>
          </w:tcPr>
          <w:p w:rsidR="00D72087" w:rsidRPr="00D72087" w:rsidRDefault="00AD6758" w:rsidP="00D72087">
            <w:pPr>
              <w:ind w:left="-44" w:hanging="27"/>
              <w:rPr>
                <w:rFonts w:cs="Arial"/>
                <w:sz w:val="18"/>
                <w:szCs w:val="18"/>
                <w:lang w:eastAsia="sk-SK"/>
              </w:rPr>
            </w:pPr>
            <w:r w:rsidRPr="00AD6758">
              <w:rPr>
                <w:rFonts w:cs="Arial"/>
                <w:sz w:val="18"/>
                <w:szCs w:val="18"/>
                <w:lang w:eastAsia="sk-SK"/>
              </w:rPr>
              <w:t>mesiac</w:t>
            </w:r>
          </w:p>
        </w:tc>
        <w:tc>
          <w:tcPr>
            <w:tcW w:w="115" w:type="pct"/>
            <w:tcBorders>
              <w:left w:val="nil"/>
              <w:right w:val="nil"/>
            </w:tcBorders>
            <w:noWrap/>
          </w:tcPr>
          <w:p w:rsidR="00D72087" w:rsidRPr="00D72087" w:rsidRDefault="00D72087" w:rsidP="00D72087">
            <w:pPr>
              <w:rPr>
                <w:rFonts w:cs="Arial"/>
                <w:sz w:val="18"/>
                <w:szCs w:val="18"/>
                <w:lang w:eastAsia="sk-SK"/>
              </w:rPr>
            </w:pPr>
          </w:p>
        </w:tc>
        <w:tc>
          <w:tcPr>
            <w:tcW w:w="546" w:type="pct"/>
            <w:gridSpan w:val="6"/>
            <w:tcBorders>
              <w:left w:val="nil"/>
              <w:bottom w:val="single" w:sz="6" w:space="0" w:color="auto"/>
              <w:right w:val="nil"/>
            </w:tcBorders>
            <w:noWrap/>
          </w:tcPr>
          <w:p w:rsidR="00D72087" w:rsidRPr="00D72087" w:rsidRDefault="00AD6758" w:rsidP="00D72087">
            <w:pPr>
              <w:ind w:hanging="47"/>
              <w:rPr>
                <w:rFonts w:cs="Arial"/>
                <w:sz w:val="18"/>
                <w:szCs w:val="18"/>
                <w:lang w:eastAsia="sk-SK"/>
              </w:rPr>
            </w:pPr>
            <w:r w:rsidRPr="00AD6758">
              <w:rPr>
                <w:rFonts w:cs="Arial"/>
                <w:sz w:val="18"/>
                <w:szCs w:val="18"/>
                <w:lang w:eastAsia="sk-SK"/>
              </w:rPr>
              <w:t>rok</w:t>
            </w:r>
          </w:p>
        </w:tc>
        <w:tc>
          <w:tcPr>
            <w:tcW w:w="407" w:type="pct"/>
            <w:gridSpan w:val="6"/>
            <w:tcBorders>
              <w:left w:val="nil"/>
              <w:bottom w:val="nil"/>
              <w:right w:val="nil"/>
            </w:tcBorders>
            <w:noWrap/>
          </w:tcPr>
          <w:p w:rsidR="00D72087" w:rsidRPr="00D72087" w:rsidRDefault="00D72087" w:rsidP="00D72087">
            <w:pPr>
              <w:rPr>
                <w:rFonts w:cs="Arial"/>
                <w:sz w:val="18"/>
                <w:szCs w:val="18"/>
                <w:lang w:eastAsia="sk-SK"/>
              </w:rPr>
            </w:pPr>
          </w:p>
        </w:tc>
        <w:tc>
          <w:tcPr>
            <w:tcW w:w="492" w:type="pct"/>
            <w:gridSpan w:val="5"/>
            <w:tcBorders>
              <w:left w:val="nil"/>
              <w:right w:val="nil"/>
            </w:tcBorders>
            <w:noWrap/>
          </w:tcPr>
          <w:p w:rsidR="00D72087" w:rsidRPr="00D72087" w:rsidRDefault="00AD6758" w:rsidP="00D72087">
            <w:pPr>
              <w:ind w:hanging="52"/>
              <w:rPr>
                <w:rFonts w:cs="Arial"/>
                <w:sz w:val="18"/>
                <w:szCs w:val="18"/>
                <w:lang w:eastAsia="sk-SK"/>
              </w:rPr>
            </w:pPr>
            <w:r w:rsidRPr="00AD6758">
              <w:rPr>
                <w:rFonts w:cs="Arial"/>
                <w:sz w:val="18"/>
                <w:szCs w:val="18"/>
                <w:lang w:eastAsia="sk-SK"/>
              </w:rPr>
              <w:t>mesiac</w:t>
            </w:r>
          </w:p>
        </w:tc>
        <w:tc>
          <w:tcPr>
            <w:tcW w:w="595" w:type="pct"/>
            <w:gridSpan w:val="7"/>
            <w:tcBorders>
              <w:left w:val="nil"/>
              <w:right w:val="nil"/>
            </w:tcBorders>
            <w:noWrap/>
          </w:tcPr>
          <w:p w:rsidR="00D72087" w:rsidRPr="00D72087" w:rsidRDefault="00AD6758" w:rsidP="00D72087">
            <w:pPr>
              <w:ind w:firstLine="109"/>
              <w:rPr>
                <w:rFonts w:cs="Arial"/>
                <w:sz w:val="18"/>
                <w:szCs w:val="18"/>
                <w:lang w:eastAsia="sk-SK"/>
              </w:rPr>
            </w:pPr>
            <w:r w:rsidRPr="00AD6758">
              <w:rPr>
                <w:rFonts w:cs="Arial"/>
                <w:sz w:val="18"/>
                <w:szCs w:val="18"/>
                <w:lang w:eastAsia="sk-SK"/>
              </w:rPr>
              <w:t>rok</w:t>
            </w:r>
          </w:p>
        </w:tc>
      </w:tr>
      <w:tr w:rsidR="004007CA" w:rsidRPr="00D72087" w:rsidTr="000A1BBA">
        <w:trPr>
          <w:trHeight w:val="57"/>
          <w:jc w:val="center"/>
        </w:trPr>
        <w:tc>
          <w:tcPr>
            <w:tcW w:w="1034" w:type="pct"/>
            <w:gridSpan w:val="7"/>
            <w:tcBorders>
              <w:top w:val="nil"/>
              <w:left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Za obdobie od</w:t>
            </w:r>
          </w:p>
        </w:tc>
        <w:tc>
          <w:tcPr>
            <w:tcW w:w="131" w:type="pct"/>
            <w:tcBorders>
              <w:top w:val="nil"/>
              <w:left w:val="nil"/>
              <w:right w:val="nil"/>
            </w:tcBorders>
            <w:noWrap/>
          </w:tcPr>
          <w:p w:rsidR="00D72087" w:rsidRPr="00D72087" w:rsidRDefault="00D72087" w:rsidP="00D72087">
            <w:pPr>
              <w:rPr>
                <w:rFonts w:cs="Arial"/>
                <w:sz w:val="18"/>
                <w:szCs w:val="18"/>
                <w:lang w:eastAsia="sk-SK"/>
              </w:rPr>
            </w:pPr>
          </w:p>
        </w:tc>
        <w:tc>
          <w:tcPr>
            <w:tcW w:w="133" w:type="pct"/>
            <w:tcBorders>
              <w:top w:val="nil"/>
              <w:left w:val="nil"/>
              <w:right w:val="nil"/>
            </w:tcBorders>
            <w:noWrap/>
          </w:tcPr>
          <w:p w:rsidR="00D72087" w:rsidRPr="00D72087" w:rsidRDefault="00D72087" w:rsidP="00D72087">
            <w:pPr>
              <w:rPr>
                <w:rFonts w:cs="Arial"/>
                <w:sz w:val="18"/>
                <w:szCs w:val="18"/>
                <w:lang w:eastAsia="sk-SK"/>
              </w:rPr>
            </w:pPr>
          </w:p>
        </w:tc>
        <w:tc>
          <w:tcPr>
            <w:tcW w:w="149" w:type="pct"/>
            <w:tcBorders>
              <w:top w:val="nil"/>
              <w:left w:val="nil"/>
              <w:right w:val="nil"/>
            </w:tcBorders>
            <w:noWrap/>
          </w:tcPr>
          <w:p w:rsidR="00D72087" w:rsidRPr="00D72087" w:rsidRDefault="00D72087" w:rsidP="00D72087">
            <w:pPr>
              <w:rPr>
                <w:rFonts w:cs="Arial"/>
                <w:sz w:val="18"/>
                <w:szCs w:val="18"/>
                <w:lang w:eastAsia="sk-SK"/>
              </w:rPr>
            </w:pPr>
          </w:p>
        </w:tc>
        <w:tc>
          <w:tcPr>
            <w:tcW w:w="150" w:type="pct"/>
            <w:tcBorders>
              <w:top w:val="nil"/>
              <w:left w:val="nil"/>
              <w:right w:val="nil"/>
            </w:tcBorders>
            <w:noWrap/>
          </w:tcPr>
          <w:p w:rsidR="00D72087" w:rsidRPr="00D72087" w:rsidRDefault="00D72087" w:rsidP="00D72087">
            <w:pPr>
              <w:rPr>
                <w:rFonts w:cs="Arial"/>
                <w:sz w:val="18"/>
                <w:szCs w:val="18"/>
                <w:lang w:eastAsia="sk-SK"/>
              </w:rPr>
            </w:pPr>
          </w:p>
        </w:tc>
        <w:tc>
          <w:tcPr>
            <w:tcW w:w="133" w:type="pct"/>
            <w:tcBorders>
              <w:top w:val="nil"/>
              <w:left w:val="nil"/>
              <w:right w:val="nil"/>
            </w:tcBorders>
            <w:noWrap/>
          </w:tcPr>
          <w:p w:rsidR="00D72087" w:rsidRPr="00D72087" w:rsidRDefault="00D72087" w:rsidP="00D72087">
            <w:pPr>
              <w:rPr>
                <w:rFonts w:cs="Arial"/>
                <w:sz w:val="18"/>
                <w:szCs w:val="18"/>
                <w:lang w:eastAsia="sk-SK"/>
              </w:rPr>
            </w:pPr>
          </w:p>
        </w:tc>
        <w:tc>
          <w:tcPr>
            <w:tcW w:w="131" w:type="pct"/>
            <w:tcBorders>
              <w:top w:val="nil"/>
              <w:left w:val="nil"/>
              <w:right w:val="nil"/>
            </w:tcBorders>
            <w:noWrap/>
          </w:tcPr>
          <w:p w:rsidR="00D72087" w:rsidRPr="00D72087" w:rsidRDefault="00D72087" w:rsidP="00D72087">
            <w:pPr>
              <w:rPr>
                <w:rFonts w:cs="Arial"/>
                <w:sz w:val="18"/>
                <w:szCs w:val="18"/>
                <w:lang w:eastAsia="sk-SK"/>
              </w:rPr>
            </w:pPr>
          </w:p>
        </w:tc>
        <w:tc>
          <w:tcPr>
            <w:tcW w:w="140" w:type="pct"/>
            <w:tcBorders>
              <w:top w:val="nil"/>
              <w:left w:val="nil"/>
            </w:tcBorders>
            <w:noWrap/>
          </w:tcPr>
          <w:p w:rsidR="00D72087" w:rsidRPr="00D72087" w:rsidRDefault="00D72087" w:rsidP="00D72087">
            <w:pPr>
              <w:rPr>
                <w:rFonts w:cs="Arial"/>
                <w:sz w:val="18"/>
                <w:szCs w:val="18"/>
                <w:lang w:eastAsia="sk-SK"/>
              </w:rPr>
            </w:pPr>
          </w:p>
        </w:tc>
        <w:tc>
          <w:tcPr>
            <w:tcW w:w="124" w:type="pct"/>
            <w:noWrap/>
          </w:tcPr>
          <w:p w:rsidR="00D72087" w:rsidRPr="00D72087" w:rsidRDefault="00D72087" w:rsidP="00D72087">
            <w:pPr>
              <w:rPr>
                <w:rFonts w:cs="Arial"/>
                <w:sz w:val="18"/>
                <w:szCs w:val="18"/>
                <w:lang w:eastAsia="sk-SK"/>
              </w:rPr>
            </w:pPr>
          </w:p>
        </w:tc>
        <w:tc>
          <w:tcPr>
            <w:tcW w:w="157" w:type="pct"/>
            <w:noWrap/>
          </w:tcPr>
          <w:p w:rsidR="00D72087" w:rsidRPr="00D72087" w:rsidRDefault="00D72087" w:rsidP="00D72087">
            <w:pPr>
              <w:rPr>
                <w:rFonts w:cs="Arial"/>
                <w:sz w:val="18"/>
                <w:szCs w:val="18"/>
                <w:lang w:eastAsia="sk-SK"/>
              </w:rPr>
            </w:pPr>
          </w:p>
        </w:tc>
        <w:tc>
          <w:tcPr>
            <w:tcW w:w="126" w:type="pct"/>
            <w:tcBorders>
              <w:top w:val="nil"/>
              <w:left w:val="nil"/>
              <w:right w:val="single" w:sz="6" w:space="0" w:color="auto"/>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27"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88" w:type="pct"/>
            <w:tcBorders>
              <w:left w:val="single" w:sz="6" w:space="0" w:color="auto"/>
            </w:tcBorders>
            <w:noWrap/>
          </w:tcPr>
          <w:p w:rsidR="00E34DCA" w:rsidRDefault="00E34DCA">
            <w:pPr>
              <w:jc w:val="center"/>
              <w:rPr>
                <w:rFonts w:cs="Arial"/>
                <w:sz w:val="18"/>
                <w:szCs w:val="18"/>
                <w:lang w:eastAsia="sk-SK"/>
              </w:rPr>
            </w:pPr>
          </w:p>
        </w:tc>
        <w:tc>
          <w:tcPr>
            <w:tcW w:w="115" w:type="pct"/>
            <w:tcBorders>
              <w:right w:val="single" w:sz="6" w:space="0" w:color="auto"/>
            </w:tcBorders>
            <w:noWrap/>
          </w:tcPr>
          <w:p w:rsidR="00E34DCA" w:rsidRDefault="00E34DCA">
            <w:pPr>
              <w:jc w:val="center"/>
              <w:rPr>
                <w:rFonts w:cs="Arial"/>
                <w:sz w:val="18"/>
                <w:szCs w:val="18"/>
                <w:lang w:eastAsia="sk-SK"/>
              </w:rPr>
            </w:pPr>
          </w:p>
        </w:tc>
        <w:tc>
          <w:tcPr>
            <w:tcW w:w="133"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6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7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60" w:type="pct"/>
            <w:gridSpan w:val="2"/>
            <w:tcBorders>
              <w:top w:val="single" w:sz="6" w:space="0" w:color="auto"/>
              <w:left w:val="single" w:sz="6" w:space="0" w:color="auto"/>
              <w:bottom w:val="single" w:sz="6" w:space="0" w:color="auto"/>
              <w:right w:val="single" w:sz="6" w:space="0" w:color="auto"/>
            </w:tcBorders>
            <w:noWrap/>
          </w:tcPr>
          <w:p w:rsidR="00E34DCA" w:rsidRDefault="004C4FDC">
            <w:pPr>
              <w:jc w:val="center"/>
              <w:rPr>
                <w:rFonts w:cs="Arial"/>
                <w:sz w:val="18"/>
                <w:szCs w:val="18"/>
                <w:lang w:eastAsia="sk-SK"/>
              </w:rPr>
            </w:pPr>
            <w:r>
              <w:rPr>
                <w:rFonts w:cs="Arial"/>
                <w:sz w:val="18"/>
                <w:szCs w:val="18"/>
                <w:lang w:eastAsia="sk-SK"/>
              </w:rPr>
              <w:t>2</w:t>
            </w:r>
          </w:p>
        </w:tc>
        <w:tc>
          <w:tcPr>
            <w:tcW w:w="315" w:type="pct"/>
            <w:gridSpan w:val="5"/>
            <w:tcBorders>
              <w:left w:val="single" w:sz="6" w:space="0" w:color="auto"/>
              <w:right w:val="single" w:sz="6" w:space="0" w:color="auto"/>
            </w:tcBorders>
            <w:noWrap/>
          </w:tcPr>
          <w:p w:rsidR="00E34DCA" w:rsidRDefault="00AD6758">
            <w:pPr>
              <w:jc w:val="center"/>
              <w:rPr>
                <w:rFonts w:cs="Arial"/>
                <w:sz w:val="18"/>
                <w:szCs w:val="18"/>
                <w:lang w:eastAsia="sk-SK"/>
              </w:rPr>
            </w:pPr>
            <w:r w:rsidRPr="00AD6758">
              <w:rPr>
                <w:rFonts w:cs="Arial"/>
                <w:sz w:val="18"/>
                <w:szCs w:val="18"/>
                <w:lang w:eastAsia="sk-SK"/>
              </w:rPr>
              <w:t>do</w:t>
            </w:r>
          </w:p>
        </w:tc>
        <w:tc>
          <w:tcPr>
            <w:tcW w:w="15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4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34" w:type="pct"/>
            <w:gridSpan w:val="2"/>
            <w:tcBorders>
              <w:left w:val="single" w:sz="6" w:space="0" w:color="auto"/>
            </w:tcBorders>
            <w:noWrap/>
          </w:tcPr>
          <w:p w:rsidR="00E34DCA" w:rsidRDefault="00E34DCA">
            <w:pPr>
              <w:jc w:val="center"/>
              <w:rPr>
                <w:rFonts w:cs="Arial"/>
                <w:sz w:val="18"/>
                <w:szCs w:val="18"/>
                <w:lang w:eastAsia="sk-SK"/>
              </w:rPr>
            </w:pPr>
          </w:p>
        </w:tc>
        <w:tc>
          <w:tcPr>
            <w:tcW w:w="163" w:type="pct"/>
            <w:gridSpan w:val="2"/>
            <w:tcBorders>
              <w:left w:val="nil"/>
              <w:right w:val="single" w:sz="6" w:space="0" w:color="auto"/>
            </w:tcBorders>
            <w:noWrap/>
          </w:tcPr>
          <w:p w:rsidR="00E34DCA" w:rsidRDefault="00E34DCA">
            <w:pPr>
              <w:jc w:val="center"/>
              <w:rPr>
                <w:rFonts w:cs="Arial"/>
                <w:sz w:val="18"/>
                <w:szCs w:val="18"/>
                <w:lang w:eastAsia="sk-SK"/>
              </w:rPr>
            </w:pPr>
          </w:p>
        </w:tc>
        <w:tc>
          <w:tcPr>
            <w:tcW w:w="13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2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35"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99" w:type="pct"/>
            <w:tcBorders>
              <w:top w:val="single" w:sz="6" w:space="0" w:color="auto"/>
              <w:left w:val="single" w:sz="6" w:space="0" w:color="auto"/>
              <w:bottom w:val="single" w:sz="6" w:space="0" w:color="auto"/>
              <w:right w:val="single" w:sz="6" w:space="0" w:color="auto"/>
            </w:tcBorders>
            <w:noWrap/>
          </w:tcPr>
          <w:p w:rsidR="00E34DCA" w:rsidRDefault="004C4FDC" w:rsidP="004C4FDC">
            <w:pPr>
              <w:jc w:val="center"/>
              <w:rPr>
                <w:rFonts w:cs="Arial"/>
                <w:sz w:val="18"/>
                <w:szCs w:val="18"/>
                <w:lang w:eastAsia="sk-SK"/>
              </w:rPr>
            </w:pPr>
            <w:r>
              <w:rPr>
                <w:rFonts w:cs="Arial"/>
                <w:sz w:val="18"/>
                <w:szCs w:val="18"/>
                <w:lang w:eastAsia="sk-SK"/>
              </w:rPr>
              <w:t>2</w:t>
            </w:r>
          </w:p>
        </w:tc>
      </w:tr>
      <w:tr w:rsidR="005B316E" w:rsidRPr="00D72087" w:rsidTr="000A1BBA">
        <w:trPr>
          <w:trHeight w:val="57"/>
          <w:jc w:val="center"/>
        </w:trPr>
        <w:tc>
          <w:tcPr>
            <w:tcW w:w="1998" w:type="pct"/>
            <w:gridSpan w:val="14"/>
            <w:tcBorders>
              <w:top w:val="nil"/>
              <w:left w:val="nil"/>
            </w:tcBorders>
            <w:noWrap/>
          </w:tcPr>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24" w:type="pct"/>
            <w:tcBorders>
              <w:top w:val="nil"/>
            </w:tcBorders>
            <w:noWrap/>
          </w:tcPr>
          <w:p w:rsidR="00D72087" w:rsidRPr="00D72087" w:rsidRDefault="00D72087" w:rsidP="00D72087">
            <w:pPr>
              <w:rPr>
                <w:rFonts w:cs="Arial"/>
                <w:sz w:val="18"/>
                <w:szCs w:val="18"/>
                <w:lang w:eastAsia="sk-SK"/>
              </w:rPr>
            </w:pPr>
          </w:p>
        </w:tc>
        <w:tc>
          <w:tcPr>
            <w:tcW w:w="157" w:type="pct"/>
            <w:tcBorders>
              <w:top w:val="nil"/>
            </w:tcBorders>
            <w:noWrap/>
          </w:tcPr>
          <w:p w:rsidR="00D72087" w:rsidRPr="00D72087" w:rsidRDefault="00D72087" w:rsidP="00D72087">
            <w:pPr>
              <w:rPr>
                <w:rFonts w:cs="Arial"/>
                <w:sz w:val="18"/>
                <w:szCs w:val="18"/>
                <w:lang w:eastAsia="sk-SK"/>
              </w:rPr>
            </w:pPr>
          </w:p>
        </w:tc>
        <w:tc>
          <w:tcPr>
            <w:tcW w:w="126" w:type="pct"/>
            <w:tcBorders>
              <w:top w:val="nil"/>
            </w:tcBorders>
            <w:noWrap/>
          </w:tcPr>
          <w:p w:rsidR="00D72087" w:rsidRPr="00D72087" w:rsidRDefault="00D72087" w:rsidP="00D72087">
            <w:pPr>
              <w:rPr>
                <w:rFonts w:cs="Arial"/>
                <w:sz w:val="18"/>
                <w:szCs w:val="18"/>
                <w:lang w:eastAsia="sk-SK"/>
              </w:rPr>
            </w:pPr>
          </w:p>
        </w:tc>
        <w:tc>
          <w:tcPr>
            <w:tcW w:w="126" w:type="pct"/>
            <w:gridSpan w:val="2"/>
            <w:tcBorders>
              <w:top w:val="nil"/>
              <w:bottom w:val="single" w:sz="6" w:space="0" w:color="auto"/>
            </w:tcBorders>
            <w:noWrap/>
          </w:tcPr>
          <w:p w:rsidR="00E34DCA" w:rsidRDefault="00E34DCA">
            <w:pPr>
              <w:jc w:val="center"/>
              <w:rPr>
                <w:rFonts w:cs="Arial"/>
                <w:sz w:val="18"/>
                <w:szCs w:val="18"/>
                <w:lang w:eastAsia="sk-SK"/>
              </w:rPr>
            </w:pPr>
          </w:p>
        </w:tc>
        <w:tc>
          <w:tcPr>
            <w:tcW w:w="127" w:type="pct"/>
            <w:tcBorders>
              <w:top w:val="nil"/>
              <w:bottom w:val="single" w:sz="6" w:space="0" w:color="auto"/>
            </w:tcBorders>
            <w:noWrap/>
          </w:tcPr>
          <w:p w:rsidR="00E34DCA" w:rsidRDefault="00E34DCA">
            <w:pPr>
              <w:jc w:val="center"/>
              <w:rPr>
                <w:rFonts w:cs="Arial"/>
                <w:sz w:val="18"/>
                <w:szCs w:val="18"/>
                <w:lang w:eastAsia="sk-SK"/>
              </w:rPr>
            </w:pPr>
          </w:p>
        </w:tc>
        <w:tc>
          <w:tcPr>
            <w:tcW w:w="188" w:type="pct"/>
            <w:tcBorders>
              <w:top w:val="nil"/>
            </w:tcBorders>
            <w:noWrap/>
          </w:tcPr>
          <w:p w:rsidR="00E34DCA" w:rsidRDefault="00E34DCA">
            <w:pPr>
              <w:jc w:val="center"/>
              <w:rPr>
                <w:rFonts w:cs="Arial"/>
                <w:sz w:val="18"/>
                <w:szCs w:val="18"/>
                <w:lang w:eastAsia="sk-SK"/>
              </w:rPr>
            </w:pPr>
          </w:p>
        </w:tc>
        <w:tc>
          <w:tcPr>
            <w:tcW w:w="115" w:type="pct"/>
            <w:tcBorders>
              <w:top w:val="nil"/>
            </w:tcBorders>
            <w:noWrap/>
          </w:tcPr>
          <w:p w:rsidR="00E34DCA" w:rsidRDefault="00E34DCA">
            <w:pPr>
              <w:jc w:val="center"/>
              <w:rPr>
                <w:rFonts w:cs="Arial"/>
                <w:sz w:val="18"/>
                <w:szCs w:val="18"/>
                <w:lang w:eastAsia="sk-SK"/>
              </w:rPr>
            </w:pPr>
          </w:p>
        </w:tc>
        <w:tc>
          <w:tcPr>
            <w:tcW w:w="133" w:type="pct"/>
            <w:tcBorders>
              <w:top w:val="nil"/>
              <w:bottom w:val="single" w:sz="6" w:space="0" w:color="auto"/>
            </w:tcBorders>
            <w:noWrap/>
          </w:tcPr>
          <w:p w:rsidR="00E34DCA" w:rsidRDefault="00E34DCA">
            <w:pPr>
              <w:jc w:val="center"/>
              <w:rPr>
                <w:rFonts w:cs="Arial"/>
                <w:sz w:val="18"/>
                <w:szCs w:val="18"/>
                <w:lang w:eastAsia="sk-SK"/>
              </w:rPr>
            </w:pPr>
          </w:p>
        </w:tc>
        <w:tc>
          <w:tcPr>
            <w:tcW w:w="169" w:type="pct"/>
            <w:gridSpan w:val="2"/>
            <w:tcBorders>
              <w:top w:val="nil"/>
              <w:bottom w:val="single" w:sz="6" w:space="0" w:color="auto"/>
            </w:tcBorders>
            <w:noWrap/>
          </w:tcPr>
          <w:p w:rsidR="00E34DCA" w:rsidRDefault="00E34DCA">
            <w:pPr>
              <w:jc w:val="center"/>
              <w:rPr>
                <w:rFonts w:cs="Arial"/>
                <w:sz w:val="18"/>
                <w:szCs w:val="18"/>
                <w:lang w:eastAsia="sk-SK"/>
              </w:rPr>
            </w:pPr>
          </w:p>
        </w:tc>
        <w:tc>
          <w:tcPr>
            <w:tcW w:w="177" w:type="pct"/>
            <w:gridSpan w:val="2"/>
            <w:tcBorders>
              <w:top w:val="nil"/>
              <w:bottom w:val="single" w:sz="6" w:space="0" w:color="auto"/>
            </w:tcBorders>
            <w:noWrap/>
          </w:tcPr>
          <w:p w:rsidR="00E34DCA" w:rsidRDefault="00E34DCA">
            <w:pPr>
              <w:jc w:val="center"/>
              <w:rPr>
                <w:rFonts w:cs="Arial"/>
                <w:sz w:val="18"/>
                <w:szCs w:val="18"/>
                <w:lang w:eastAsia="sk-SK"/>
              </w:rPr>
            </w:pPr>
          </w:p>
        </w:tc>
        <w:tc>
          <w:tcPr>
            <w:tcW w:w="160" w:type="pct"/>
            <w:gridSpan w:val="2"/>
            <w:tcBorders>
              <w:top w:val="nil"/>
              <w:bottom w:val="single" w:sz="6" w:space="0" w:color="auto"/>
            </w:tcBorders>
            <w:noWrap/>
          </w:tcPr>
          <w:p w:rsidR="00E34DCA" w:rsidRDefault="00E34DCA">
            <w:pPr>
              <w:jc w:val="center"/>
              <w:rPr>
                <w:rFonts w:cs="Arial"/>
                <w:sz w:val="18"/>
                <w:szCs w:val="18"/>
                <w:lang w:eastAsia="sk-SK"/>
              </w:rPr>
            </w:pPr>
          </w:p>
        </w:tc>
        <w:tc>
          <w:tcPr>
            <w:tcW w:w="171" w:type="pct"/>
            <w:gridSpan w:val="3"/>
            <w:tcBorders>
              <w:top w:val="nil"/>
            </w:tcBorders>
            <w:noWrap/>
          </w:tcPr>
          <w:p w:rsidR="00E34DCA" w:rsidRDefault="00E34DCA">
            <w:pPr>
              <w:jc w:val="center"/>
              <w:rPr>
                <w:rFonts w:cs="Arial"/>
                <w:sz w:val="18"/>
                <w:szCs w:val="18"/>
                <w:lang w:eastAsia="sk-SK"/>
              </w:rPr>
            </w:pPr>
          </w:p>
        </w:tc>
        <w:tc>
          <w:tcPr>
            <w:tcW w:w="144" w:type="pct"/>
            <w:gridSpan w:val="2"/>
            <w:tcBorders>
              <w:top w:val="nil"/>
            </w:tcBorders>
            <w:noWrap/>
          </w:tcPr>
          <w:p w:rsidR="00E34DCA" w:rsidRDefault="00E34DCA">
            <w:pPr>
              <w:jc w:val="center"/>
              <w:rPr>
                <w:rFonts w:cs="Arial"/>
                <w:sz w:val="18"/>
                <w:szCs w:val="18"/>
                <w:lang w:eastAsia="sk-SK"/>
              </w:rPr>
            </w:pPr>
          </w:p>
        </w:tc>
        <w:tc>
          <w:tcPr>
            <w:tcW w:w="150" w:type="pct"/>
            <w:tcBorders>
              <w:top w:val="nil"/>
              <w:bottom w:val="single" w:sz="6" w:space="0" w:color="auto"/>
            </w:tcBorders>
            <w:noWrap/>
          </w:tcPr>
          <w:p w:rsidR="00E34DCA" w:rsidRDefault="00E34DCA">
            <w:pPr>
              <w:jc w:val="center"/>
              <w:rPr>
                <w:rFonts w:cs="Arial"/>
                <w:sz w:val="18"/>
                <w:szCs w:val="18"/>
                <w:lang w:eastAsia="sk-SK"/>
              </w:rPr>
            </w:pPr>
          </w:p>
        </w:tc>
        <w:tc>
          <w:tcPr>
            <w:tcW w:w="140" w:type="pct"/>
            <w:tcBorders>
              <w:top w:val="nil"/>
              <w:bottom w:val="single" w:sz="6" w:space="0" w:color="auto"/>
            </w:tcBorders>
            <w:noWrap/>
          </w:tcPr>
          <w:p w:rsidR="00E34DCA" w:rsidRDefault="00E34DCA">
            <w:pPr>
              <w:jc w:val="center"/>
              <w:rPr>
                <w:rFonts w:cs="Arial"/>
                <w:sz w:val="18"/>
                <w:szCs w:val="18"/>
                <w:lang w:eastAsia="sk-SK"/>
              </w:rPr>
            </w:pPr>
          </w:p>
        </w:tc>
        <w:tc>
          <w:tcPr>
            <w:tcW w:w="134" w:type="pct"/>
            <w:gridSpan w:val="2"/>
            <w:noWrap/>
          </w:tcPr>
          <w:p w:rsidR="00E34DCA" w:rsidRDefault="00E34DCA">
            <w:pPr>
              <w:jc w:val="center"/>
              <w:rPr>
                <w:rFonts w:cs="Arial"/>
                <w:sz w:val="18"/>
                <w:szCs w:val="18"/>
                <w:lang w:eastAsia="sk-SK"/>
              </w:rPr>
            </w:pPr>
          </w:p>
        </w:tc>
        <w:tc>
          <w:tcPr>
            <w:tcW w:w="163" w:type="pct"/>
            <w:gridSpan w:val="2"/>
            <w:noWrap/>
          </w:tcPr>
          <w:p w:rsidR="00E34DCA" w:rsidRDefault="00E34DCA">
            <w:pPr>
              <w:jc w:val="center"/>
              <w:rPr>
                <w:rFonts w:cs="Arial"/>
                <w:sz w:val="18"/>
                <w:szCs w:val="18"/>
                <w:lang w:eastAsia="sk-SK"/>
              </w:rPr>
            </w:pPr>
          </w:p>
        </w:tc>
        <w:tc>
          <w:tcPr>
            <w:tcW w:w="137" w:type="pct"/>
            <w:gridSpan w:val="2"/>
            <w:tcBorders>
              <w:top w:val="nil"/>
              <w:bottom w:val="single" w:sz="6" w:space="0" w:color="auto"/>
            </w:tcBorders>
            <w:noWrap/>
          </w:tcPr>
          <w:p w:rsidR="00E34DCA" w:rsidRDefault="00E34DCA">
            <w:pPr>
              <w:jc w:val="center"/>
              <w:rPr>
                <w:rFonts w:cs="Arial"/>
                <w:sz w:val="18"/>
                <w:szCs w:val="18"/>
                <w:lang w:eastAsia="sk-SK"/>
              </w:rPr>
            </w:pPr>
          </w:p>
        </w:tc>
        <w:tc>
          <w:tcPr>
            <w:tcW w:w="129" w:type="pct"/>
            <w:gridSpan w:val="2"/>
            <w:tcBorders>
              <w:top w:val="nil"/>
              <w:bottom w:val="single" w:sz="6" w:space="0" w:color="auto"/>
            </w:tcBorders>
            <w:noWrap/>
          </w:tcPr>
          <w:p w:rsidR="00E34DCA" w:rsidRDefault="00E34DCA">
            <w:pPr>
              <w:jc w:val="center"/>
              <w:rPr>
                <w:rFonts w:cs="Arial"/>
                <w:sz w:val="18"/>
                <w:szCs w:val="18"/>
                <w:lang w:eastAsia="sk-SK"/>
              </w:rPr>
            </w:pPr>
          </w:p>
        </w:tc>
        <w:tc>
          <w:tcPr>
            <w:tcW w:w="135" w:type="pct"/>
            <w:tcBorders>
              <w:top w:val="nil"/>
              <w:bottom w:val="single" w:sz="6" w:space="0" w:color="auto"/>
            </w:tcBorders>
            <w:noWrap/>
          </w:tcPr>
          <w:p w:rsidR="00E34DCA" w:rsidRDefault="00E34DCA">
            <w:pPr>
              <w:jc w:val="center"/>
              <w:rPr>
                <w:rFonts w:cs="Arial"/>
                <w:sz w:val="18"/>
                <w:szCs w:val="18"/>
                <w:lang w:eastAsia="sk-SK"/>
              </w:rPr>
            </w:pPr>
          </w:p>
        </w:tc>
        <w:tc>
          <w:tcPr>
            <w:tcW w:w="99" w:type="pct"/>
            <w:tcBorders>
              <w:top w:val="nil"/>
              <w:bottom w:val="single" w:sz="6" w:space="0" w:color="auto"/>
              <w:right w:val="nil"/>
            </w:tcBorders>
            <w:noWrap/>
          </w:tcPr>
          <w:p w:rsidR="00E34DCA" w:rsidRDefault="00E34DCA">
            <w:pPr>
              <w:jc w:val="center"/>
              <w:rPr>
                <w:rFonts w:cs="Arial"/>
                <w:sz w:val="18"/>
                <w:szCs w:val="18"/>
                <w:lang w:eastAsia="sk-SK"/>
              </w:rPr>
            </w:pPr>
          </w:p>
        </w:tc>
      </w:tr>
      <w:tr w:rsidR="005B316E" w:rsidRPr="00D72087" w:rsidTr="000A1BBA">
        <w:trPr>
          <w:trHeight w:val="57"/>
          <w:jc w:val="center"/>
        </w:trPr>
        <w:tc>
          <w:tcPr>
            <w:tcW w:w="1998" w:type="pct"/>
            <w:gridSpan w:val="14"/>
            <w:tcBorders>
              <w:left w:val="nil"/>
              <w:bottom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Bezprostredne predchádzajúce obdobie od</w:t>
            </w:r>
          </w:p>
        </w:tc>
        <w:tc>
          <w:tcPr>
            <w:tcW w:w="124" w:type="pct"/>
            <w:noWrap/>
          </w:tcPr>
          <w:p w:rsidR="00D72087" w:rsidRPr="00D72087" w:rsidRDefault="00D72087" w:rsidP="00D72087">
            <w:pPr>
              <w:rPr>
                <w:rFonts w:cs="Arial"/>
                <w:sz w:val="18"/>
                <w:szCs w:val="18"/>
                <w:lang w:eastAsia="sk-SK"/>
              </w:rPr>
            </w:pPr>
          </w:p>
        </w:tc>
        <w:tc>
          <w:tcPr>
            <w:tcW w:w="157" w:type="pct"/>
            <w:noWrap/>
          </w:tcPr>
          <w:p w:rsidR="00D72087" w:rsidRPr="00D72087" w:rsidRDefault="00D72087" w:rsidP="00D72087">
            <w:pPr>
              <w:rPr>
                <w:rFonts w:cs="Arial"/>
                <w:sz w:val="18"/>
                <w:szCs w:val="18"/>
                <w:lang w:eastAsia="sk-SK"/>
              </w:rPr>
            </w:pPr>
          </w:p>
        </w:tc>
        <w:tc>
          <w:tcPr>
            <w:tcW w:w="126" w:type="pct"/>
            <w:tcBorders>
              <w:left w:val="nil"/>
              <w:bottom w:val="nil"/>
              <w:right w:val="single" w:sz="6" w:space="0" w:color="auto"/>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27"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88" w:type="pct"/>
            <w:tcBorders>
              <w:left w:val="single" w:sz="6" w:space="0" w:color="auto"/>
            </w:tcBorders>
            <w:noWrap/>
          </w:tcPr>
          <w:p w:rsidR="00E34DCA" w:rsidRDefault="00E34DCA">
            <w:pPr>
              <w:jc w:val="center"/>
              <w:rPr>
                <w:rFonts w:cs="Arial"/>
                <w:sz w:val="18"/>
                <w:szCs w:val="18"/>
                <w:lang w:eastAsia="sk-SK"/>
              </w:rPr>
            </w:pPr>
          </w:p>
        </w:tc>
        <w:tc>
          <w:tcPr>
            <w:tcW w:w="115" w:type="pct"/>
            <w:tcBorders>
              <w:right w:val="single" w:sz="6" w:space="0" w:color="auto"/>
            </w:tcBorders>
            <w:noWrap/>
          </w:tcPr>
          <w:p w:rsidR="00E34DCA" w:rsidRDefault="00E34DCA">
            <w:pPr>
              <w:jc w:val="center"/>
              <w:rPr>
                <w:rFonts w:cs="Arial"/>
                <w:sz w:val="18"/>
                <w:szCs w:val="18"/>
                <w:lang w:eastAsia="sk-SK"/>
              </w:rPr>
            </w:pPr>
          </w:p>
        </w:tc>
        <w:tc>
          <w:tcPr>
            <w:tcW w:w="133"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6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7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60" w:type="pct"/>
            <w:gridSpan w:val="2"/>
            <w:tcBorders>
              <w:top w:val="single" w:sz="6" w:space="0" w:color="auto"/>
              <w:left w:val="single" w:sz="6" w:space="0" w:color="auto"/>
              <w:bottom w:val="single" w:sz="6" w:space="0" w:color="auto"/>
              <w:right w:val="single" w:sz="6" w:space="0" w:color="auto"/>
            </w:tcBorders>
            <w:noWrap/>
          </w:tcPr>
          <w:p w:rsidR="00E34DCA" w:rsidRDefault="004C4FDC">
            <w:pPr>
              <w:jc w:val="center"/>
              <w:rPr>
                <w:rFonts w:cs="Arial"/>
                <w:sz w:val="18"/>
                <w:szCs w:val="18"/>
                <w:lang w:eastAsia="sk-SK"/>
              </w:rPr>
            </w:pPr>
            <w:r>
              <w:rPr>
                <w:rFonts w:cs="Arial"/>
                <w:sz w:val="18"/>
                <w:szCs w:val="18"/>
                <w:lang w:eastAsia="sk-SK"/>
              </w:rPr>
              <w:t>1</w:t>
            </w:r>
          </w:p>
        </w:tc>
        <w:tc>
          <w:tcPr>
            <w:tcW w:w="315" w:type="pct"/>
            <w:gridSpan w:val="5"/>
            <w:tcBorders>
              <w:left w:val="single" w:sz="6" w:space="0" w:color="auto"/>
              <w:right w:val="single" w:sz="6" w:space="0" w:color="auto"/>
            </w:tcBorders>
            <w:noWrap/>
          </w:tcPr>
          <w:p w:rsidR="00E34DCA" w:rsidRDefault="00AD6758">
            <w:pPr>
              <w:jc w:val="center"/>
              <w:rPr>
                <w:rFonts w:cs="Arial"/>
                <w:sz w:val="18"/>
                <w:szCs w:val="18"/>
                <w:lang w:eastAsia="sk-SK"/>
              </w:rPr>
            </w:pPr>
            <w:r w:rsidRPr="00AD6758">
              <w:rPr>
                <w:rFonts w:cs="Arial"/>
                <w:sz w:val="18"/>
                <w:szCs w:val="18"/>
                <w:lang w:eastAsia="sk-SK"/>
              </w:rPr>
              <w:t>do</w:t>
            </w:r>
          </w:p>
        </w:tc>
        <w:tc>
          <w:tcPr>
            <w:tcW w:w="15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140"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34" w:type="pct"/>
            <w:gridSpan w:val="2"/>
            <w:tcBorders>
              <w:left w:val="single" w:sz="6" w:space="0" w:color="auto"/>
            </w:tcBorders>
            <w:noWrap/>
          </w:tcPr>
          <w:p w:rsidR="00E34DCA" w:rsidRDefault="00E34DCA">
            <w:pPr>
              <w:jc w:val="center"/>
              <w:rPr>
                <w:rFonts w:cs="Arial"/>
                <w:sz w:val="18"/>
                <w:szCs w:val="18"/>
                <w:lang w:eastAsia="sk-SK"/>
              </w:rPr>
            </w:pPr>
          </w:p>
        </w:tc>
        <w:tc>
          <w:tcPr>
            <w:tcW w:w="163" w:type="pct"/>
            <w:gridSpan w:val="2"/>
            <w:tcBorders>
              <w:left w:val="nil"/>
              <w:right w:val="single" w:sz="6" w:space="0" w:color="auto"/>
            </w:tcBorders>
            <w:noWrap/>
          </w:tcPr>
          <w:p w:rsidR="00E34DCA" w:rsidRDefault="00E34DCA">
            <w:pPr>
              <w:jc w:val="center"/>
              <w:rPr>
                <w:rFonts w:cs="Arial"/>
                <w:sz w:val="18"/>
                <w:szCs w:val="18"/>
                <w:lang w:eastAsia="sk-SK"/>
              </w:rPr>
            </w:pPr>
          </w:p>
        </w:tc>
        <w:tc>
          <w:tcPr>
            <w:tcW w:w="137"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2</w:t>
            </w:r>
          </w:p>
        </w:tc>
        <w:tc>
          <w:tcPr>
            <w:tcW w:w="129" w:type="pct"/>
            <w:gridSpan w:val="2"/>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0</w:t>
            </w:r>
          </w:p>
        </w:tc>
        <w:tc>
          <w:tcPr>
            <w:tcW w:w="135"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1</w:t>
            </w:r>
          </w:p>
        </w:tc>
        <w:tc>
          <w:tcPr>
            <w:tcW w:w="99" w:type="pct"/>
            <w:tcBorders>
              <w:top w:val="single" w:sz="6" w:space="0" w:color="auto"/>
              <w:left w:val="single" w:sz="6" w:space="0" w:color="auto"/>
              <w:bottom w:val="single" w:sz="6" w:space="0" w:color="auto"/>
              <w:right w:val="single" w:sz="6" w:space="0" w:color="auto"/>
            </w:tcBorders>
            <w:noWrap/>
          </w:tcPr>
          <w:p w:rsidR="00E34DCA" w:rsidRDefault="004C4FDC">
            <w:pPr>
              <w:jc w:val="center"/>
              <w:rPr>
                <w:rFonts w:cs="Arial"/>
                <w:sz w:val="18"/>
                <w:szCs w:val="18"/>
                <w:lang w:eastAsia="sk-SK"/>
              </w:rPr>
            </w:pPr>
            <w:r>
              <w:rPr>
                <w:rFonts w:cs="Arial"/>
                <w:sz w:val="18"/>
                <w:szCs w:val="18"/>
                <w:lang w:eastAsia="sk-SK"/>
              </w:rPr>
              <w:t>1</w:t>
            </w:r>
          </w:p>
        </w:tc>
      </w:tr>
      <w:tr w:rsidR="005B316E" w:rsidRPr="00D72087" w:rsidTr="000A1BBA">
        <w:trPr>
          <w:trHeight w:val="57"/>
          <w:jc w:val="center"/>
        </w:trPr>
        <w:tc>
          <w:tcPr>
            <w:tcW w:w="770" w:type="pct"/>
            <w:gridSpan w:val="5"/>
            <w:tcBorders>
              <w:top w:val="nil"/>
              <w:left w:val="nil"/>
              <w:bottom w:val="nil"/>
              <w:right w:val="nil"/>
            </w:tcBorders>
            <w:noWrap/>
          </w:tcPr>
          <w:p w:rsidR="00D72087" w:rsidRPr="00D72087" w:rsidRDefault="00D72087" w:rsidP="00D72087">
            <w:pPr>
              <w:rPr>
                <w:rFonts w:cs="Arial"/>
                <w:sz w:val="18"/>
                <w:szCs w:val="18"/>
                <w:lang w:eastAsia="sk-SK"/>
              </w:rPr>
            </w:pPr>
          </w:p>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left w:val="nil"/>
              <w:bottom w:val="nil"/>
              <w:right w:val="nil"/>
            </w:tcBorders>
            <w:noWrap/>
          </w:tcPr>
          <w:p w:rsidR="00D72087" w:rsidRPr="00D72087" w:rsidRDefault="00D72087" w:rsidP="00D72087">
            <w:pPr>
              <w:rPr>
                <w:rFonts w:cs="Arial"/>
                <w:sz w:val="18"/>
                <w:szCs w:val="18"/>
                <w:lang w:eastAsia="sk-SK"/>
              </w:rPr>
            </w:pPr>
          </w:p>
        </w:tc>
        <w:tc>
          <w:tcPr>
            <w:tcW w:w="157" w:type="pct"/>
            <w:tcBorders>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88" w:type="pct"/>
            <w:tcBorders>
              <w:left w:val="nil"/>
              <w:bottom w:val="nil"/>
              <w:right w:val="nil"/>
            </w:tcBorders>
            <w:noWrap/>
          </w:tcPr>
          <w:p w:rsidR="00D72087" w:rsidRPr="00D72087" w:rsidRDefault="00D72087" w:rsidP="00D72087">
            <w:pPr>
              <w:rPr>
                <w:rFonts w:cs="Arial"/>
                <w:sz w:val="18"/>
                <w:szCs w:val="18"/>
                <w:lang w:eastAsia="sk-SK"/>
              </w:rPr>
            </w:pPr>
          </w:p>
        </w:tc>
        <w:tc>
          <w:tcPr>
            <w:tcW w:w="115" w:type="pct"/>
            <w:tcBorders>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single" w:sz="6" w:space="0" w:color="auto"/>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998" w:type="pct"/>
            <w:gridSpan w:val="14"/>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b/>
                <w:bCs/>
                <w:sz w:val="18"/>
                <w:szCs w:val="18"/>
                <w:lang w:eastAsia="sk-SK"/>
              </w:rPr>
              <w:t>Dátum vzniku účtovnej  jednotky</w:t>
            </w: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12" w:type="pct"/>
            <w:gridSpan w:val="12"/>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b/>
                <w:bCs/>
                <w:sz w:val="18"/>
                <w:szCs w:val="18"/>
                <w:lang w:eastAsia="sk-SK"/>
              </w:rPr>
              <w:t>Účtovná závierka</w:t>
            </w:r>
          </w:p>
        </w:tc>
        <w:tc>
          <w:tcPr>
            <w:tcW w:w="997" w:type="pct"/>
            <w:gridSpan w:val="12"/>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b/>
                <w:bCs/>
                <w:sz w:val="18"/>
                <w:szCs w:val="18"/>
                <w:lang w:eastAsia="sk-SK"/>
              </w:rPr>
              <w:t>Účtovná závierka</w:t>
            </w: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152" w:type="pct"/>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18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single" w:sz="4" w:space="0" w:color="auto"/>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right w:val="nil"/>
            </w:tcBorders>
            <w:noWrap/>
          </w:tcPr>
          <w:p w:rsidR="00D72087" w:rsidRPr="00D72087" w:rsidRDefault="00D72087" w:rsidP="00D72087">
            <w:pPr>
              <w:rPr>
                <w:rFonts w:cs="Arial"/>
                <w:sz w:val="18"/>
                <w:szCs w:val="18"/>
                <w:lang w:eastAsia="sk-SK"/>
              </w:rPr>
            </w:pPr>
          </w:p>
        </w:tc>
        <w:tc>
          <w:tcPr>
            <w:tcW w:w="127" w:type="pct"/>
            <w:tcBorders>
              <w:top w:val="nil"/>
              <w:left w:val="nil"/>
              <w:right w:val="nil"/>
            </w:tcBorders>
            <w:noWrap/>
          </w:tcPr>
          <w:p w:rsidR="00D72087" w:rsidRPr="00D72087" w:rsidRDefault="00D72087" w:rsidP="00D72087">
            <w:pPr>
              <w:rPr>
                <w:rFonts w:cs="Arial"/>
                <w:sz w:val="18"/>
                <w:szCs w:val="18"/>
                <w:lang w:eastAsia="sk-SK"/>
              </w:rPr>
            </w:pPr>
          </w:p>
        </w:tc>
        <w:tc>
          <w:tcPr>
            <w:tcW w:w="941" w:type="pct"/>
            <w:gridSpan w:val="9"/>
            <w:tcBorders>
              <w:top w:val="nil"/>
              <w:left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71"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293" w:type="pct"/>
            <w:gridSpan w:val="3"/>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3"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E34DCA" w:rsidRDefault="00BE1B47">
            <w:pPr>
              <w:jc w:val="center"/>
              <w:rPr>
                <w:rFonts w:cs="Arial"/>
                <w:bCs/>
                <w:sz w:val="18"/>
                <w:szCs w:val="18"/>
                <w:lang w:eastAsia="sk-SK"/>
              </w:rPr>
            </w:pPr>
            <w:r>
              <w:rPr>
                <w:rFonts w:cs="Arial"/>
                <w:bCs/>
                <w:sz w:val="18"/>
                <w:szCs w:val="18"/>
                <w:lang w:eastAsia="sk-SK"/>
              </w:rPr>
              <w:t>0</w:t>
            </w:r>
          </w:p>
        </w:tc>
        <w:tc>
          <w:tcPr>
            <w:tcW w:w="152" w:type="pct"/>
            <w:tcBorders>
              <w:top w:val="single" w:sz="4" w:space="0" w:color="auto"/>
              <w:left w:val="nil"/>
              <w:bottom w:val="single" w:sz="4" w:space="0" w:color="auto"/>
              <w:right w:val="single" w:sz="4" w:space="0" w:color="auto"/>
            </w:tcBorders>
            <w:noWrap/>
          </w:tcPr>
          <w:p w:rsidR="00E34DCA" w:rsidRDefault="00BE1B47">
            <w:pPr>
              <w:jc w:val="center"/>
              <w:rPr>
                <w:rFonts w:cs="Arial"/>
                <w:bCs/>
                <w:sz w:val="18"/>
                <w:szCs w:val="18"/>
                <w:lang w:eastAsia="sk-SK"/>
              </w:rPr>
            </w:pPr>
            <w:r>
              <w:rPr>
                <w:rFonts w:cs="Arial"/>
                <w:bCs/>
                <w:sz w:val="18"/>
                <w:szCs w:val="18"/>
                <w:lang w:eastAsia="sk-SK"/>
              </w:rPr>
              <w:t>8</w:t>
            </w:r>
          </w:p>
        </w:tc>
        <w:tc>
          <w:tcPr>
            <w:tcW w:w="180" w:type="pct"/>
            <w:tcBorders>
              <w:top w:val="nil"/>
              <w:left w:val="nil"/>
              <w:bottom w:val="nil"/>
              <w:right w:val="nil"/>
            </w:tcBorders>
            <w:noWrap/>
          </w:tcPr>
          <w:p w:rsidR="00E34DCA" w:rsidRDefault="00E34DCA">
            <w:pPr>
              <w:jc w:val="center"/>
              <w:rPr>
                <w:rFonts w:cs="Arial"/>
                <w:sz w:val="18"/>
                <w:szCs w:val="18"/>
                <w:lang w:eastAsia="sk-SK"/>
              </w:rPr>
            </w:pPr>
          </w:p>
        </w:tc>
        <w:tc>
          <w:tcPr>
            <w:tcW w:w="127" w:type="pct"/>
            <w:tcBorders>
              <w:top w:val="single" w:sz="4" w:space="0" w:color="auto"/>
              <w:left w:val="single" w:sz="4" w:space="0" w:color="auto"/>
              <w:bottom w:val="single" w:sz="4" w:space="0" w:color="auto"/>
              <w:right w:val="single" w:sz="4" w:space="0" w:color="auto"/>
            </w:tcBorders>
            <w:noWrap/>
          </w:tcPr>
          <w:p w:rsidR="00E34DCA" w:rsidRDefault="00BE1B47">
            <w:pPr>
              <w:jc w:val="center"/>
              <w:rPr>
                <w:rFonts w:cs="Arial"/>
                <w:sz w:val="18"/>
                <w:szCs w:val="18"/>
                <w:lang w:eastAsia="sk-SK"/>
              </w:rPr>
            </w:pPr>
            <w:r>
              <w:rPr>
                <w:rFonts w:cs="Arial"/>
                <w:sz w:val="18"/>
                <w:szCs w:val="18"/>
                <w:lang w:eastAsia="sk-SK"/>
              </w:rPr>
              <w:t>1</w:t>
            </w:r>
          </w:p>
        </w:tc>
        <w:tc>
          <w:tcPr>
            <w:tcW w:w="148" w:type="pct"/>
            <w:tcBorders>
              <w:top w:val="single" w:sz="4" w:space="0" w:color="auto"/>
              <w:left w:val="nil"/>
              <w:bottom w:val="single" w:sz="4" w:space="0" w:color="auto"/>
              <w:right w:val="single" w:sz="4" w:space="0" w:color="auto"/>
            </w:tcBorders>
            <w:noWrap/>
          </w:tcPr>
          <w:p w:rsidR="00E34DCA" w:rsidRDefault="00BE1B47">
            <w:pPr>
              <w:jc w:val="center"/>
              <w:rPr>
                <w:rFonts w:cs="Arial"/>
                <w:sz w:val="18"/>
                <w:szCs w:val="18"/>
                <w:lang w:eastAsia="sk-SK"/>
              </w:rPr>
            </w:pPr>
            <w:r>
              <w:rPr>
                <w:rFonts w:cs="Arial"/>
                <w:sz w:val="18"/>
                <w:szCs w:val="18"/>
                <w:lang w:eastAsia="sk-SK"/>
              </w:rPr>
              <w:t>0</w:t>
            </w:r>
          </w:p>
        </w:tc>
        <w:tc>
          <w:tcPr>
            <w:tcW w:w="130" w:type="pct"/>
            <w:tcBorders>
              <w:top w:val="nil"/>
              <w:left w:val="nil"/>
              <w:bottom w:val="nil"/>
              <w:right w:val="nil"/>
            </w:tcBorders>
            <w:noWrap/>
          </w:tcPr>
          <w:p w:rsidR="00E34DCA" w:rsidRDefault="00E34DCA">
            <w:pPr>
              <w:jc w:val="center"/>
              <w:rPr>
                <w:rFonts w:cs="Arial"/>
                <w:sz w:val="18"/>
                <w:szCs w:val="18"/>
                <w:lang w:eastAsia="sk-SK"/>
              </w:rPr>
            </w:pPr>
          </w:p>
        </w:tc>
        <w:tc>
          <w:tcPr>
            <w:tcW w:w="134" w:type="pct"/>
            <w:tcBorders>
              <w:top w:val="single" w:sz="4" w:space="0" w:color="auto"/>
              <w:left w:val="single" w:sz="4" w:space="0" w:color="auto"/>
              <w:bottom w:val="single" w:sz="4" w:space="0" w:color="auto"/>
              <w:right w:val="single" w:sz="4" w:space="0" w:color="auto"/>
            </w:tcBorders>
            <w:noWrap/>
          </w:tcPr>
          <w:p w:rsidR="00E34DCA" w:rsidRDefault="00D72087">
            <w:pPr>
              <w:jc w:val="center"/>
              <w:rPr>
                <w:rFonts w:cs="Arial"/>
                <w:sz w:val="18"/>
                <w:szCs w:val="18"/>
                <w:lang w:eastAsia="sk-SK"/>
              </w:rPr>
            </w:pPr>
            <w:r w:rsidRPr="00D72087">
              <w:rPr>
                <w:rFonts w:cs="Arial"/>
                <w:sz w:val="18"/>
                <w:szCs w:val="18"/>
                <w:lang w:eastAsia="sk-SK"/>
              </w:rPr>
              <w:t>1</w:t>
            </w:r>
          </w:p>
        </w:tc>
        <w:tc>
          <w:tcPr>
            <w:tcW w:w="131" w:type="pct"/>
            <w:tcBorders>
              <w:top w:val="single" w:sz="4" w:space="0" w:color="auto"/>
              <w:left w:val="nil"/>
              <w:bottom w:val="single" w:sz="4" w:space="0" w:color="auto"/>
              <w:right w:val="single" w:sz="4" w:space="0" w:color="auto"/>
            </w:tcBorders>
            <w:noWrap/>
          </w:tcPr>
          <w:p w:rsidR="00E34DCA" w:rsidRDefault="00D72087">
            <w:pPr>
              <w:jc w:val="center"/>
              <w:rPr>
                <w:rFonts w:cs="Arial"/>
                <w:sz w:val="18"/>
                <w:szCs w:val="18"/>
                <w:lang w:eastAsia="sk-SK"/>
              </w:rPr>
            </w:pPr>
            <w:r w:rsidRPr="00D72087">
              <w:rPr>
                <w:rFonts w:cs="Arial"/>
                <w:sz w:val="18"/>
                <w:szCs w:val="18"/>
                <w:lang w:eastAsia="sk-SK"/>
              </w:rPr>
              <w:t>9</w:t>
            </w:r>
          </w:p>
        </w:tc>
        <w:tc>
          <w:tcPr>
            <w:tcW w:w="133" w:type="pct"/>
            <w:tcBorders>
              <w:top w:val="single" w:sz="4" w:space="0" w:color="auto"/>
              <w:left w:val="nil"/>
              <w:bottom w:val="single" w:sz="4" w:space="0" w:color="auto"/>
              <w:right w:val="single" w:sz="4" w:space="0" w:color="auto"/>
            </w:tcBorders>
            <w:noWrap/>
          </w:tcPr>
          <w:p w:rsidR="00E34DCA" w:rsidRDefault="00D72087">
            <w:pPr>
              <w:jc w:val="center"/>
              <w:rPr>
                <w:rFonts w:cs="Arial"/>
                <w:sz w:val="18"/>
                <w:szCs w:val="18"/>
                <w:lang w:eastAsia="sk-SK"/>
              </w:rPr>
            </w:pPr>
            <w:r w:rsidRPr="00D72087">
              <w:rPr>
                <w:rFonts w:cs="Arial"/>
                <w:sz w:val="18"/>
                <w:szCs w:val="18"/>
                <w:lang w:eastAsia="sk-SK"/>
              </w:rPr>
              <w:t>9</w:t>
            </w:r>
          </w:p>
        </w:tc>
        <w:tc>
          <w:tcPr>
            <w:tcW w:w="149" w:type="pct"/>
            <w:tcBorders>
              <w:top w:val="single" w:sz="4" w:space="0" w:color="auto"/>
              <w:left w:val="nil"/>
              <w:bottom w:val="single" w:sz="4" w:space="0" w:color="auto"/>
              <w:right w:val="single" w:sz="4" w:space="0" w:color="auto"/>
            </w:tcBorders>
            <w:noWrap/>
          </w:tcPr>
          <w:p w:rsidR="00E34DCA" w:rsidRDefault="00BE1B47">
            <w:pPr>
              <w:jc w:val="center"/>
              <w:rPr>
                <w:rFonts w:cs="Arial"/>
                <w:sz w:val="18"/>
                <w:szCs w:val="18"/>
                <w:lang w:eastAsia="sk-SK"/>
              </w:rPr>
            </w:pPr>
            <w:r>
              <w:rPr>
                <w:rFonts w:cs="Arial"/>
                <w:sz w:val="18"/>
                <w:szCs w:val="18"/>
                <w:lang w:eastAsia="sk-SK"/>
              </w:rPr>
              <w:t>1</w:t>
            </w:r>
          </w:p>
        </w:tc>
        <w:tc>
          <w:tcPr>
            <w:tcW w:w="150" w:type="pct"/>
            <w:tcBorders>
              <w:top w:val="nil"/>
              <w:left w:val="single" w:sz="4" w:space="0" w:color="auto"/>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tcBorders>
            <w:noWrap/>
          </w:tcPr>
          <w:p w:rsidR="00D72087" w:rsidRPr="00D72087" w:rsidRDefault="00D72087" w:rsidP="00D72087">
            <w:pPr>
              <w:rPr>
                <w:rFonts w:cs="Arial"/>
                <w:sz w:val="18"/>
                <w:szCs w:val="18"/>
                <w:lang w:eastAsia="sk-SK"/>
              </w:rPr>
            </w:pPr>
          </w:p>
        </w:tc>
        <w:tc>
          <w:tcPr>
            <w:tcW w:w="127" w:type="pct"/>
            <w:tcBorders>
              <w:right w:val="single" w:sz="6" w:space="0" w:color="auto"/>
            </w:tcBorders>
            <w:noWrap/>
          </w:tcPr>
          <w:p w:rsidR="00D72087" w:rsidRPr="00D72087" w:rsidRDefault="00D72087" w:rsidP="00D72087">
            <w:pPr>
              <w:rPr>
                <w:rFonts w:cs="Arial"/>
                <w:sz w:val="18"/>
                <w:szCs w:val="18"/>
                <w:lang w:eastAsia="sk-SK"/>
              </w:rPr>
            </w:pPr>
          </w:p>
        </w:tc>
        <w:tc>
          <w:tcPr>
            <w:tcW w:w="188" w:type="pct"/>
            <w:tcBorders>
              <w:top w:val="single" w:sz="6" w:space="0" w:color="auto"/>
              <w:left w:val="single" w:sz="6" w:space="0" w:color="auto"/>
              <w:bottom w:val="single" w:sz="6" w:space="0" w:color="auto"/>
              <w:right w:val="single" w:sz="6" w:space="0" w:color="auto"/>
            </w:tcBorders>
            <w:noWrap/>
          </w:tcPr>
          <w:p w:rsidR="00E34DCA" w:rsidRDefault="00D72087">
            <w:pPr>
              <w:jc w:val="center"/>
              <w:rPr>
                <w:rFonts w:cs="Arial"/>
                <w:sz w:val="18"/>
                <w:szCs w:val="18"/>
                <w:lang w:eastAsia="sk-SK"/>
              </w:rPr>
            </w:pPr>
            <w:r>
              <w:rPr>
                <w:rFonts w:cs="Arial"/>
                <w:sz w:val="18"/>
                <w:szCs w:val="18"/>
                <w:lang w:eastAsia="sk-SK"/>
              </w:rPr>
              <w:t>x</w:t>
            </w:r>
          </w:p>
        </w:tc>
        <w:tc>
          <w:tcPr>
            <w:tcW w:w="753" w:type="pct"/>
            <w:gridSpan w:val="8"/>
            <w:tcBorders>
              <w:lef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  riadna</w:t>
            </w:r>
          </w:p>
        </w:tc>
        <w:tc>
          <w:tcPr>
            <w:tcW w:w="171"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4" w:type="pct"/>
            <w:gridSpan w:val="2"/>
            <w:tcBorders>
              <w:top w:val="single" w:sz="4" w:space="0" w:color="auto"/>
              <w:left w:val="single" w:sz="4" w:space="0" w:color="auto"/>
              <w:bottom w:val="single" w:sz="4" w:space="0" w:color="auto"/>
              <w:right w:val="single" w:sz="4" w:space="0" w:color="auto"/>
            </w:tcBorders>
            <w:noWrap/>
          </w:tcPr>
          <w:p w:rsidR="00E34DCA" w:rsidRDefault="00D72087">
            <w:pPr>
              <w:jc w:val="center"/>
              <w:rPr>
                <w:rFonts w:cs="Arial"/>
                <w:sz w:val="18"/>
                <w:szCs w:val="18"/>
                <w:lang w:eastAsia="sk-SK"/>
              </w:rPr>
            </w:pPr>
            <w:r>
              <w:rPr>
                <w:rFonts w:cs="Arial"/>
                <w:sz w:val="18"/>
                <w:szCs w:val="18"/>
                <w:lang w:eastAsia="sk-SK"/>
              </w:rPr>
              <w:t>x</w:t>
            </w:r>
          </w:p>
        </w:tc>
        <w:tc>
          <w:tcPr>
            <w:tcW w:w="724" w:type="pct"/>
            <w:gridSpan w:val="8"/>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xml:space="preserve"> – zostavená</w:t>
            </w:r>
          </w:p>
        </w:tc>
        <w:tc>
          <w:tcPr>
            <w:tcW w:w="12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2115" w:type="pct"/>
            <w:gridSpan w:val="15"/>
            <w:tcBorders>
              <w:top w:val="nil"/>
              <w:left w:val="nil"/>
              <w:bottom w:val="nil"/>
              <w:right w:val="nil"/>
            </w:tcBorders>
            <w:noWrap/>
          </w:tcPr>
          <w:p w:rsidR="00D72087" w:rsidRPr="00D72087" w:rsidRDefault="00D72087" w:rsidP="00D72087">
            <w:pPr>
              <w:rPr>
                <w:rFonts w:cs="Arial"/>
                <w:b/>
                <w:bCs/>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tcBorders>
            <w:noWrap/>
          </w:tcPr>
          <w:p w:rsidR="00D72087" w:rsidRPr="00D72087" w:rsidRDefault="00D72087" w:rsidP="00D72087">
            <w:pPr>
              <w:rPr>
                <w:rFonts w:cs="Arial"/>
                <w:sz w:val="18"/>
                <w:szCs w:val="18"/>
                <w:lang w:eastAsia="sk-SK"/>
              </w:rPr>
            </w:pPr>
          </w:p>
        </w:tc>
        <w:tc>
          <w:tcPr>
            <w:tcW w:w="127" w:type="pct"/>
            <w:tcBorders>
              <w:right w:val="single" w:sz="6" w:space="0" w:color="auto"/>
            </w:tcBorders>
            <w:noWrap/>
          </w:tcPr>
          <w:p w:rsidR="00D72087" w:rsidRPr="00D72087" w:rsidRDefault="00D72087" w:rsidP="00D72087">
            <w:pPr>
              <w:rPr>
                <w:rFonts w:cs="Arial"/>
                <w:sz w:val="18"/>
                <w:szCs w:val="18"/>
                <w:lang w:eastAsia="sk-SK"/>
              </w:rPr>
            </w:pPr>
          </w:p>
        </w:tc>
        <w:tc>
          <w:tcPr>
            <w:tcW w:w="188" w:type="pct"/>
            <w:tcBorders>
              <w:top w:val="single" w:sz="6" w:space="0" w:color="auto"/>
              <w:left w:val="single" w:sz="6" w:space="0" w:color="auto"/>
              <w:bottom w:val="single" w:sz="4" w:space="0" w:color="auto"/>
              <w:right w:val="single" w:sz="6" w:space="0" w:color="auto"/>
            </w:tcBorders>
            <w:noWrap/>
          </w:tcPr>
          <w:p w:rsidR="00E34DCA" w:rsidRDefault="00E34DCA">
            <w:pPr>
              <w:jc w:val="center"/>
              <w:rPr>
                <w:rFonts w:cs="Arial"/>
                <w:sz w:val="18"/>
                <w:szCs w:val="18"/>
                <w:lang w:eastAsia="sk-SK"/>
              </w:rPr>
            </w:pPr>
          </w:p>
        </w:tc>
        <w:tc>
          <w:tcPr>
            <w:tcW w:w="753" w:type="pct"/>
            <w:gridSpan w:val="8"/>
            <w:tcBorders>
              <w:lef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  mimoriadna</w:t>
            </w:r>
          </w:p>
        </w:tc>
        <w:tc>
          <w:tcPr>
            <w:tcW w:w="171"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4" w:type="pct"/>
            <w:gridSpan w:val="2"/>
            <w:tcBorders>
              <w:top w:val="single" w:sz="4" w:space="0" w:color="auto"/>
              <w:left w:val="single" w:sz="4" w:space="0" w:color="auto"/>
              <w:bottom w:val="single" w:sz="4" w:space="0" w:color="auto"/>
              <w:right w:val="single" w:sz="4" w:space="0" w:color="auto"/>
            </w:tcBorders>
            <w:noWrap/>
          </w:tcPr>
          <w:p w:rsidR="00E34DCA" w:rsidRDefault="00E34DCA">
            <w:pPr>
              <w:jc w:val="center"/>
              <w:rPr>
                <w:rFonts w:cs="Arial"/>
                <w:sz w:val="18"/>
                <w:szCs w:val="18"/>
                <w:lang w:eastAsia="sk-SK"/>
              </w:rPr>
            </w:pPr>
          </w:p>
        </w:tc>
        <w:tc>
          <w:tcPr>
            <w:tcW w:w="724" w:type="pct"/>
            <w:gridSpan w:val="8"/>
            <w:tcBorders>
              <w:top w:val="nil"/>
              <w:left w:val="single" w:sz="4" w:space="0" w:color="auto"/>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xml:space="preserve"> – schválená</w:t>
            </w:r>
          </w:p>
        </w:tc>
        <w:tc>
          <w:tcPr>
            <w:tcW w:w="12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top w:val="nil"/>
              <w:left w:val="nil"/>
              <w:right w:val="nil"/>
            </w:tcBorders>
            <w:noWrap/>
          </w:tcPr>
          <w:p w:rsidR="00D72087" w:rsidRPr="00D72087" w:rsidRDefault="00D72087" w:rsidP="00D72087">
            <w:pPr>
              <w:rPr>
                <w:rFonts w:cs="Arial"/>
                <w:b/>
                <w:bCs/>
                <w:sz w:val="18"/>
                <w:szCs w:val="18"/>
                <w:lang w:eastAsia="sk-SK"/>
              </w:rPr>
            </w:pPr>
          </w:p>
        </w:tc>
        <w:tc>
          <w:tcPr>
            <w:tcW w:w="2115" w:type="pct"/>
            <w:gridSpan w:val="15"/>
            <w:tcBorders>
              <w:top w:val="nil"/>
              <w:left w:val="nil"/>
              <w:right w:val="nil"/>
            </w:tcBorders>
            <w:noWrap/>
          </w:tcPr>
          <w:p w:rsidR="00D72087" w:rsidRPr="00D72087" w:rsidRDefault="00D72087" w:rsidP="00D72087">
            <w:pPr>
              <w:rPr>
                <w:rFonts w:cs="Arial"/>
                <w:b/>
                <w:bCs/>
                <w:sz w:val="18"/>
                <w:szCs w:val="18"/>
                <w:lang w:eastAsia="sk-SK"/>
              </w:rPr>
            </w:pPr>
          </w:p>
        </w:tc>
        <w:tc>
          <w:tcPr>
            <w:tcW w:w="126" w:type="pct"/>
            <w:tcBorders>
              <w:top w:val="nil"/>
              <w:left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tcBorders>
            <w:noWrap/>
          </w:tcPr>
          <w:p w:rsidR="00D72087" w:rsidRPr="00D72087" w:rsidRDefault="00D72087" w:rsidP="00D72087">
            <w:pPr>
              <w:rPr>
                <w:rFonts w:cs="Arial"/>
                <w:sz w:val="18"/>
                <w:szCs w:val="18"/>
                <w:lang w:eastAsia="sk-SK"/>
              </w:rPr>
            </w:pPr>
          </w:p>
        </w:tc>
        <w:tc>
          <w:tcPr>
            <w:tcW w:w="127" w:type="pct"/>
            <w:tcBorders>
              <w:right w:val="single" w:sz="4" w:space="0" w:color="auto"/>
            </w:tcBorders>
            <w:noWrap/>
          </w:tcPr>
          <w:p w:rsidR="00D72087" w:rsidRPr="00D72087" w:rsidRDefault="00D72087" w:rsidP="00D72087">
            <w:pPr>
              <w:rPr>
                <w:rFonts w:cs="Arial"/>
                <w:sz w:val="18"/>
                <w:szCs w:val="18"/>
                <w:lang w:eastAsia="sk-SK"/>
              </w:rPr>
            </w:pPr>
          </w:p>
        </w:tc>
        <w:tc>
          <w:tcPr>
            <w:tcW w:w="188" w:type="pct"/>
            <w:tcBorders>
              <w:top w:val="single" w:sz="4" w:space="0" w:color="auto"/>
              <w:left w:val="single" w:sz="4" w:space="0" w:color="auto"/>
              <w:bottom w:val="single" w:sz="4" w:space="0" w:color="auto"/>
              <w:right w:val="single" w:sz="4" w:space="0" w:color="auto"/>
            </w:tcBorders>
            <w:noWrap/>
          </w:tcPr>
          <w:p w:rsidR="00E34DCA" w:rsidRDefault="00E34DCA">
            <w:pPr>
              <w:jc w:val="center"/>
              <w:rPr>
                <w:rFonts w:cs="Arial"/>
                <w:sz w:val="18"/>
                <w:szCs w:val="18"/>
                <w:lang w:eastAsia="sk-SK"/>
              </w:rPr>
            </w:pPr>
          </w:p>
        </w:tc>
        <w:tc>
          <w:tcPr>
            <w:tcW w:w="753" w:type="pct"/>
            <w:gridSpan w:val="8"/>
            <w:tcBorders>
              <w:lef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priebežná</w:t>
            </w:r>
          </w:p>
        </w:tc>
        <w:tc>
          <w:tcPr>
            <w:tcW w:w="171" w:type="pct"/>
            <w:gridSpan w:val="3"/>
            <w:tcBorders>
              <w:top w:val="nil"/>
              <w:left w:val="nil"/>
            </w:tcBorders>
            <w:noWrap/>
          </w:tcPr>
          <w:p w:rsidR="00D72087" w:rsidRPr="00D72087" w:rsidRDefault="00D72087" w:rsidP="00D72087">
            <w:pPr>
              <w:rPr>
                <w:rFonts w:cs="Arial"/>
                <w:sz w:val="18"/>
                <w:szCs w:val="18"/>
                <w:lang w:eastAsia="sk-SK"/>
              </w:rPr>
            </w:pPr>
          </w:p>
        </w:tc>
        <w:tc>
          <w:tcPr>
            <w:tcW w:w="144" w:type="pct"/>
            <w:gridSpan w:val="2"/>
            <w:tcBorders>
              <w:top w:val="nil"/>
            </w:tcBorders>
            <w:noWrap/>
          </w:tcPr>
          <w:p w:rsidR="00D72087" w:rsidRPr="00D72087" w:rsidRDefault="00D72087" w:rsidP="00D72087">
            <w:pPr>
              <w:rPr>
                <w:rFonts w:cs="Arial"/>
                <w:sz w:val="18"/>
                <w:szCs w:val="18"/>
                <w:lang w:eastAsia="sk-SK"/>
              </w:rPr>
            </w:pPr>
          </w:p>
        </w:tc>
        <w:tc>
          <w:tcPr>
            <w:tcW w:w="724" w:type="pct"/>
            <w:gridSpan w:val="8"/>
            <w:tcBorders>
              <w:top w:val="nil"/>
              <w:right w:val="nil"/>
            </w:tcBorders>
            <w:noWrap/>
          </w:tcPr>
          <w:p w:rsidR="00D72087" w:rsidRPr="00D72087" w:rsidRDefault="00D72087" w:rsidP="00D72087">
            <w:pPr>
              <w:rPr>
                <w:rFonts w:cs="Arial"/>
                <w:sz w:val="18"/>
                <w:szCs w:val="18"/>
                <w:lang w:eastAsia="sk-SK"/>
              </w:rPr>
            </w:pPr>
          </w:p>
        </w:tc>
        <w:tc>
          <w:tcPr>
            <w:tcW w:w="129" w:type="pct"/>
            <w:gridSpan w:val="2"/>
            <w:tcBorders>
              <w:top w:val="nil"/>
              <w:left w:val="nil"/>
              <w:right w:val="nil"/>
            </w:tcBorders>
            <w:noWrap/>
          </w:tcPr>
          <w:p w:rsidR="00D72087" w:rsidRPr="00D72087" w:rsidRDefault="00D72087" w:rsidP="00D72087">
            <w:pPr>
              <w:rPr>
                <w:rFonts w:cs="Arial"/>
                <w:sz w:val="18"/>
                <w:szCs w:val="18"/>
                <w:lang w:eastAsia="sk-SK"/>
              </w:rPr>
            </w:pPr>
          </w:p>
        </w:tc>
        <w:tc>
          <w:tcPr>
            <w:tcW w:w="135" w:type="pct"/>
            <w:tcBorders>
              <w:top w:val="nil"/>
              <w:left w:val="nil"/>
              <w:right w:val="nil"/>
            </w:tcBorders>
            <w:noWrap/>
          </w:tcPr>
          <w:p w:rsidR="00D72087" w:rsidRPr="00D72087" w:rsidRDefault="00D72087" w:rsidP="00D72087">
            <w:pPr>
              <w:rPr>
                <w:rFonts w:cs="Arial"/>
                <w:sz w:val="18"/>
                <w:szCs w:val="18"/>
                <w:lang w:eastAsia="sk-SK"/>
              </w:rPr>
            </w:pPr>
          </w:p>
        </w:tc>
        <w:tc>
          <w:tcPr>
            <w:tcW w:w="99" w:type="pct"/>
            <w:tcBorders>
              <w:top w:val="nil"/>
              <w:left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64" w:type="pct"/>
            <w:tcBorders>
              <w:left w:val="nil"/>
            </w:tcBorders>
            <w:noWrap/>
          </w:tcPr>
          <w:p w:rsidR="00D72087" w:rsidRDefault="00D72087" w:rsidP="00D72087">
            <w:pPr>
              <w:rPr>
                <w:rFonts w:cs="Arial"/>
                <w:b/>
                <w:bCs/>
                <w:sz w:val="18"/>
                <w:szCs w:val="18"/>
                <w:lang w:eastAsia="sk-SK"/>
              </w:rPr>
            </w:pPr>
          </w:p>
          <w:p w:rsidR="001A1C39" w:rsidRPr="00D72087" w:rsidRDefault="001A1C39" w:rsidP="00D72087">
            <w:pPr>
              <w:rPr>
                <w:rFonts w:cs="Arial"/>
                <w:b/>
                <w:bCs/>
                <w:sz w:val="18"/>
                <w:szCs w:val="18"/>
                <w:lang w:eastAsia="sk-SK"/>
              </w:rPr>
            </w:pPr>
          </w:p>
        </w:tc>
        <w:tc>
          <w:tcPr>
            <w:tcW w:w="2115" w:type="pct"/>
            <w:gridSpan w:val="15"/>
            <w:noWrap/>
          </w:tcPr>
          <w:p w:rsidR="00D72087" w:rsidRPr="00D72087" w:rsidRDefault="00D72087" w:rsidP="00D72087">
            <w:pPr>
              <w:rPr>
                <w:rFonts w:cs="Arial"/>
                <w:b/>
                <w:bCs/>
                <w:sz w:val="18"/>
                <w:szCs w:val="18"/>
                <w:lang w:eastAsia="sk-SK"/>
              </w:rPr>
            </w:pPr>
          </w:p>
        </w:tc>
        <w:tc>
          <w:tcPr>
            <w:tcW w:w="126" w:type="pct"/>
            <w:noWrap/>
          </w:tcPr>
          <w:p w:rsidR="00D72087" w:rsidRPr="00D72087" w:rsidRDefault="00D72087" w:rsidP="00D72087">
            <w:pPr>
              <w:rPr>
                <w:rFonts w:cs="Arial"/>
                <w:sz w:val="18"/>
                <w:szCs w:val="18"/>
                <w:lang w:eastAsia="sk-SK"/>
              </w:rPr>
            </w:pPr>
          </w:p>
        </w:tc>
        <w:tc>
          <w:tcPr>
            <w:tcW w:w="126" w:type="pct"/>
            <w:gridSpan w:val="2"/>
            <w:noWrap/>
          </w:tcPr>
          <w:p w:rsidR="00D72087" w:rsidRPr="00D72087" w:rsidRDefault="00D72087" w:rsidP="00D72087">
            <w:pPr>
              <w:rPr>
                <w:rFonts w:cs="Arial"/>
                <w:sz w:val="18"/>
                <w:szCs w:val="18"/>
                <w:lang w:eastAsia="sk-SK"/>
              </w:rPr>
            </w:pPr>
          </w:p>
        </w:tc>
        <w:tc>
          <w:tcPr>
            <w:tcW w:w="127" w:type="pct"/>
            <w:noWrap/>
          </w:tcPr>
          <w:p w:rsidR="00D72087" w:rsidRPr="00D72087" w:rsidRDefault="00D72087" w:rsidP="00D72087">
            <w:pPr>
              <w:rPr>
                <w:rFonts w:cs="Arial"/>
                <w:sz w:val="18"/>
                <w:szCs w:val="18"/>
                <w:lang w:eastAsia="sk-SK"/>
              </w:rPr>
            </w:pPr>
          </w:p>
        </w:tc>
        <w:tc>
          <w:tcPr>
            <w:tcW w:w="188" w:type="pct"/>
            <w:tcBorders>
              <w:top w:val="single" w:sz="4" w:space="0" w:color="auto"/>
            </w:tcBorders>
            <w:noWrap/>
          </w:tcPr>
          <w:p w:rsidR="00D72087" w:rsidRPr="00D72087" w:rsidRDefault="00D72087" w:rsidP="00D72087">
            <w:pPr>
              <w:rPr>
                <w:rFonts w:cs="Arial"/>
                <w:sz w:val="18"/>
                <w:szCs w:val="18"/>
                <w:lang w:eastAsia="sk-SK"/>
              </w:rPr>
            </w:pPr>
          </w:p>
        </w:tc>
        <w:tc>
          <w:tcPr>
            <w:tcW w:w="753" w:type="pct"/>
            <w:gridSpan w:val="8"/>
            <w:noWrap/>
          </w:tcPr>
          <w:p w:rsidR="00D72087" w:rsidRPr="00D72087" w:rsidRDefault="00D72087" w:rsidP="00D72087">
            <w:pPr>
              <w:rPr>
                <w:rFonts w:cs="Arial"/>
                <w:sz w:val="18"/>
                <w:szCs w:val="18"/>
                <w:lang w:eastAsia="sk-SK"/>
              </w:rPr>
            </w:pPr>
          </w:p>
        </w:tc>
        <w:tc>
          <w:tcPr>
            <w:tcW w:w="171" w:type="pct"/>
            <w:gridSpan w:val="3"/>
            <w:noWrap/>
          </w:tcPr>
          <w:p w:rsidR="00D72087" w:rsidRPr="00D72087" w:rsidRDefault="00D72087" w:rsidP="00D72087">
            <w:pPr>
              <w:rPr>
                <w:rFonts w:cs="Arial"/>
                <w:sz w:val="18"/>
                <w:szCs w:val="18"/>
                <w:lang w:eastAsia="sk-SK"/>
              </w:rPr>
            </w:pPr>
          </w:p>
        </w:tc>
        <w:tc>
          <w:tcPr>
            <w:tcW w:w="144" w:type="pct"/>
            <w:gridSpan w:val="2"/>
            <w:noWrap/>
          </w:tcPr>
          <w:p w:rsidR="00D72087" w:rsidRPr="00D72087" w:rsidRDefault="00D72087" w:rsidP="00D72087">
            <w:pPr>
              <w:rPr>
                <w:rFonts w:cs="Arial"/>
                <w:sz w:val="18"/>
                <w:szCs w:val="18"/>
                <w:lang w:eastAsia="sk-SK"/>
              </w:rPr>
            </w:pPr>
          </w:p>
        </w:tc>
        <w:tc>
          <w:tcPr>
            <w:tcW w:w="724" w:type="pct"/>
            <w:gridSpan w:val="8"/>
            <w:noWrap/>
          </w:tcPr>
          <w:p w:rsidR="00D72087" w:rsidRPr="00D72087" w:rsidRDefault="00D72087" w:rsidP="00D72087">
            <w:pPr>
              <w:rPr>
                <w:rFonts w:cs="Arial"/>
                <w:sz w:val="18"/>
                <w:szCs w:val="18"/>
                <w:lang w:eastAsia="sk-SK"/>
              </w:rPr>
            </w:pPr>
          </w:p>
        </w:tc>
        <w:tc>
          <w:tcPr>
            <w:tcW w:w="129" w:type="pct"/>
            <w:gridSpan w:val="2"/>
            <w:noWrap/>
          </w:tcPr>
          <w:p w:rsidR="00D72087" w:rsidRPr="00D72087" w:rsidRDefault="00D72087" w:rsidP="00D72087">
            <w:pPr>
              <w:rPr>
                <w:rFonts w:cs="Arial"/>
                <w:sz w:val="18"/>
                <w:szCs w:val="18"/>
                <w:lang w:eastAsia="sk-SK"/>
              </w:rPr>
            </w:pPr>
          </w:p>
        </w:tc>
        <w:tc>
          <w:tcPr>
            <w:tcW w:w="135" w:type="pct"/>
            <w:noWrap/>
          </w:tcPr>
          <w:p w:rsidR="00D72087" w:rsidRPr="00D72087" w:rsidRDefault="00D72087" w:rsidP="00D72087">
            <w:pPr>
              <w:rPr>
                <w:rFonts w:cs="Arial"/>
                <w:sz w:val="18"/>
                <w:szCs w:val="18"/>
                <w:lang w:eastAsia="sk-SK"/>
              </w:rPr>
            </w:pPr>
          </w:p>
        </w:tc>
        <w:tc>
          <w:tcPr>
            <w:tcW w:w="99" w:type="pct"/>
            <w:tcBorders>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316" w:type="pct"/>
            <w:gridSpan w:val="2"/>
            <w:tcBorders>
              <w:left w:val="nil"/>
              <w:bottom w:val="nil"/>
              <w:right w:val="nil"/>
            </w:tcBorders>
            <w:noWrap/>
          </w:tcPr>
          <w:p w:rsidR="00D72087" w:rsidRPr="00D72087" w:rsidRDefault="00AD6758" w:rsidP="00D72087">
            <w:pPr>
              <w:rPr>
                <w:rFonts w:cs="Arial"/>
                <w:b/>
                <w:bCs/>
                <w:sz w:val="18"/>
                <w:szCs w:val="18"/>
                <w:lang w:eastAsia="sk-SK"/>
              </w:rPr>
            </w:pPr>
            <w:r w:rsidRPr="00AD6758">
              <w:rPr>
                <w:rFonts w:cs="Arial"/>
                <w:b/>
                <w:bCs/>
                <w:sz w:val="18"/>
                <w:szCs w:val="18"/>
                <w:lang w:eastAsia="sk-SK"/>
              </w:rPr>
              <w:t>IČO</w:t>
            </w:r>
          </w:p>
        </w:tc>
        <w:tc>
          <w:tcPr>
            <w:tcW w:w="180" w:type="pct"/>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48" w:type="pct"/>
            <w:tcBorders>
              <w:left w:val="nil"/>
              <w:bottom w:val="nil"/>
              <w:right w:val="nil"/>
            </w:tcBorders>
            <w:noWrap/>
          </w:tcPr>
          <w:p w:rsidR="00D72087" w:rsidRPr="00D72087" w:rsidRDefault="00D72087" w:rsidP="00D72087">
            <w:pPr>
              <w:rPr>
                <w:rFonts w:cs="Arial"/>
                <w:sz w:val="18"/>
                <w:szCs w:val="18"/>
                <w:lang w:eastAsia="sk-SK"/>
              </w:rPr>
            </w:pPr>
          </w:p>
        </w:tc>
        <w:tc>
          <w:tcPr>
            <w:tcW w:w="13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298" w:type="pct"/>
            <w:gridSpan w:val="2"/>
            <w:tcBorders>
              <w:left w:val="nil"/>
              <w:bottom w:val="nil"/>
              <w:right w:val="nil"/>
            </w:tcBorders>
            <w:noWrap/>
          </w:tcPr>
          <w:p w:rsidR="00D72087" w:rsidRPr="00D72087" w:rsidRDefault="00AD6758" w:rsidP="00D72087">
            <w:pPr>
              <w:rPr>
                <w:rFonts w:cs="Arial"/>
                <w:b/>
                <w:bCs/>
                <w:sz w:val="18"/>
                <w:szCs w:val="18"/>
                <w:lang w:eastAsia="sk-SK"/>
              </w:rPr>
            </w:pPr>
            <w:r w:rsidRPr="00AD6758">
              <w:rPr>
                <w:rFonts w:cs="Arial"/>
                <w:b/>
                <w:bCs/>
                <w:sz w:val="18"/>
                <w:szCs w:val="18"/>
                <w:lang w:eastAsia="sk-SK"/>
              </w:rPr>
              <w:t>DIČ</w:t>
            </w:r>
          </w:p>
        </w:tc>
        <w:tc>
          <w:tcPr>
            <w:tcW w:w="133" w:type="pct"/>
            <w:tcBorders>
              <w:left w:val="nil"/>
              <w:bottom w:val="nil"/>
              <w:right w:val="nil"/>
            </w:tcBorders>
            <w:noWrap/>
          </w:tcPr>
          <w:p w:rsidR="00D72087" w:rsidRPr="00D72087" w:rsidRDefault="00D72087" w:rsidP="00D72087">
            <w:pPr>
              <w:rPr>
                <w:rFonts w:cs="Arial"/>
                <w:sz w:val="18"/>
                <w:szCs w:val="18"/>
                <w:lang w:eastAsia="sk-SK"/>
              </w:rPr>
            </w:pPr>
          </w:p>
        </w:tc>
        <w:tc>
          <w:tcPr>
            <w:tcW w:w="131"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124" w:type="pct"/>
            <w:tcBorders>
              <w:left w:val="nil"/>
              <w:bottom w:val="nil"/>
              <w:right w:val="nil"/>
            </w:tcBorders>
            <w:noWrap/>
          </w:tcPr>
          <w:p w:rsidR="00D72087" w:rsidRPr="00D72087" w:rsidRDefault="00D72087" w:rsidP="00D72087">
            <w:pPr>
              <w:rPr>
                <w:rFonts w:cs="Arial"/>
                <w:sz w:val="18"/>
                <w:szCs w:val="18"/>
                <w:lang w:eastAsia="sk-SK"/>
              </w:rPr>
            </w:pPr>
          </w:p>
        </w:tc>
        <w:tc>
          <w:tcPr>
            <w:tcW w:w="157" w:type="pct"/>
            <w:tcBorders>
              <w:left w:val="nil"/>
              <w:bottom w:val="nil"/>
              <w:right w:val="nil"/>
            </w:tcBorders>
            <w:noWrap/>
          </w:tcPr>
          <w:p w:rsidR="00D72087" w:rsidRPr="00D72087" w:rsidRDefault="00D72087" w:rsidP="00D72087">
            <w:pPr>
              <w:rPr>
                <w:rFonts w:cs="Arial"/>
                <w:sz w:val="18"/>
                <w:szCs w:val="18"/>
                <w:lang w:eastAsia="sk-SK"/>
              </w:rPr>
            </w:pPr>
          </w:p>
        </w:tc>
        <w:tc>
          <w:tcPr>
            <w:tcW w:w="126" w:type="pct"/>
            <w:tcBorders>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27" w:type="pct"/>
            <w:tcBorders>
              <w:left w:val="nil"/>
              <w:bottom w:val="nil"/>
              <w:right w:val="nil"/>
            </w:tcBorders>
            <w:noWrap/>
          </w:tcPr>
          <w:p w:rsidR="00D72087" w:rsidRPr="00D72087" w:rsidRDefault="00D72087" w:rsidP="00D72087">
            <w:pPr>
              <w:rPr>
                <w:rFonts w:cs="Arial"/>
                <w:sz w:val="18"/>
                <w:szCs w:val="18"/>
                <w:lang w:eastAsia="sk-SK"/>
              </w:rPr>
            </w:pPr>
          </w:p>
        </w:tc>
        <w:tc>
          <w:tcPr>
            <w:tcW w:w="188" w:type="pct"/>
            <w:tcBorders>
              <w:left w:val="nil"/>
              <w:bottom w:val="nil"/>
              <w:right w:val="nil"/>
            </w:tcBorders>
            <w:noWrap/>
          </w:tcPr>
          <w:p w:rsidR="00D72087" w:rsidRPr="00D72087" w:rsidRDefault="00D72087" w:rsidP="00D72087">
            <w:pPr>
              <w:rPr>
                <w:rFonts w:cs="Arial"/>
                <w:sz w:val="18"/>
                <w:szCs w:val="18"/>
                <w:lang w:eastAsia="sk-SK"/>
              </w:rPr>
            </w:pPr>
          </w:p>
        </w:tc>
        <w:tc>
          <w:tcPr>
            <w:tcW w:w="115" w:type="pct"/>
            <w:tcBorders>
              <w:left w:val="nil"/>
              <w:bottom w:val="nil"/>
              <w:right w:val="nil"/>
            </w:tcBorders>
            <w:noWrap/>
          </w:tcPr>
          <w:p w:rsidR="00D72087" w:rsidRPr="00D72087" w:rsidRDefault="00D72087" w:rsidP="00D72087">
            <w:pPr>
              <w:rPr>
                <w:rFonts w:cs="Arial"/>
                <w:sz w:val="18"/>
                <w:szCs w:val="18"/>
                <w:lang w:eastAsia="sk-SK"/>
              </w:rPr>
            </w:pPr>
          </w:p>
        </w:tc>
        <w:tc>
          <w:tcPr>
            <w:tcW w:w="809" w:type="pct"/>
            <w:gridSpan w:val="10"/>
            <w:tcBorders>
              <w:left w:val="nil"/>
              <w:bottom w:val="nil"/>
              <w:right w:val="nil"/>
            </w:tcBorders>
            <w:noWrap/>
          </w:tcPr>
          <w:p w:rsidR="00D72087" w:rsidRPr="00D72087" w:rsidRDefault="00AD6758" w:rsidP="00D72087">
            <w:pPr>
              <w:rPr>
                <w:rFonts w:cs="Arial"/>
                <w:b/>
                <w:bCs/>
                <w:sz w:val="18"/>
                <w:szCs w:val="18"/>
                <w:lang w:eastAsia="sk-SK"/>
              </w:rPr>
            </w:pPr>
            <w:r w:rsidRPr="00AD6758">
              <w:rPr>
                <w:rFonts w:cs="Arial"/>
                <w:b/>
                <w:bCs/>
                <w:sz w:val="18"/>
                <w:szCs w:val="18"/>
                <w:lang w:eastAsia="sk-SK"/>
              </w:rPr>
              <w:t xml:space="preserve">Kód SK NACE </w:t>
            </w:r>
          </w:p>
        </w:tc>
        <w:tc>
          <w:tcPr>
            <w:tcW w:w="144"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50" w:type="pct"/>
            <w:tcBorders>
              <w:left w:val="nil"/>
              <w:bottom w:val="nil"/>
              <w:right w:val="nil"/>
            </w:tcBorders>
            <w:noWrap/>
          </w:tcPr>
          <w:p w:rsidR="00D72087" w:rsidRPr="00D72087" w:rsidRDefault="00D72087" w:rsidP="00D72087">
            <w:pPr>
              <w:rPr>
                <w:rFonts w:cs="Arial"/>
                <w:sz w:val="18"/>
                <w:szCs w:val="18"/>
                <w:lang w:eastAsia="sk-SK"/>
              </w:rPr>
            </w:pPr>
          </w:p>
        </w:tc>
        <w:tc>
          <w:tcPr>
            <w:tcW w:w="140" w:type="pct"/>
            <w:tcBorders>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63"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7"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29" w:type="pct"/>
            <w:gridSpan w:val="2"/>
            <w:tcBorders>
              <w:left w:val="nil"/>
              <w:bottom w:val="nil"/>
              <w:right w:val="nil"/>
            </w:tcBorders>
            <w:noWrap/>
          </w:tcPr>
          <w:p w:rsidR="00D72087" w:rsidRPr="00D72087" w:rsidRDefault="00D72087" w:rsidP="00D72087">
            <w:pPr>
              <w:rPr>
                <w:rFonts w:cs="Arial"/>
                <w:sz w:val="18"/>
                <w:szCs w:val="18"/>
                <w:lang w:eastAsia="sk-SK"/>
              </w:rPr>
            </w:pPr>
          </w:p>
        </w:tc>
        <w:tc>
          <w:tcPr>
            <w:tcW w:w="135" w:type="pct"/>
            <w:tcBorders>
              <w:left w:val="nil"/>
              <w:bottom w:val="nil"/>
              <w:right w:val="nil"/>
            </w:tcBorders>
            <w:noWrap/>
          </w:tcPr>
          <w:p w:rsidR="00D72087" w:rsidRPr="00D72087" w:rsidRDefault="00D72087" w:rsidP="00D72087">
            <w:pPr>
              <w:rPr>
                <w:rFonts w:cs="Arial"/>
                <w:sz w:val="18"/>
                <w:szCs w:val="18"/>
                <w:lang w:eastAsia="sk-SK"/>
              </w:rPr>
            </w:pPr>
          </w:p>
        </w:tc>
        <w:tc>
          <w:tcPr>
            <w:tcW w:w="99" w:type="pct"/>
            <w:tcBorders>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2722A2">
            <w:pPr>
              <w:rPr>
                <w:rFonts w:cs="Arial"/>
                <w:sz w:val="18"/>
                <w:szCs w:val="18"/>
                <w:lang w:eastAsia="sk-SK"/>
              </w:rPr>
            </w:pPr>
            <w:r w:rsidRPr="00AD6758">
              <w:rPr>
                <w:rFonts w:cs="Arial"/>
                <w:sz w:val="18"/>
                <w:szCs w:val="18"/>
                <w:lang w:eastAsia="sk-SK"/>
              </w:rPr>
              <w:t> </w:t>
            </w:r>
            <w:r w:rsidR="002722A2">
              <w:rPr>
                <w:rFonts w:cs="Arial"/>
                <w:sz w:val="18"/>
                <w:szCs w:val="18"/>
                <w:lang w:eastAsia="sk-SK"/>
              </w:rPr>
              <w:t>1</w:t>
            </w:r>
          </w:p>
        </w:tc>
        <w:tc>
          <w:tcPr>
            <w:tcW w:w="152"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7</w:t>
            </w:r>
          </w:p>
        </w:tc>
        <w:tc>
          <w:tcPr>
            <w:tcW w:w="180"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0</w:t>
            </w:r>
          </w:p>
        </w:tc>
        <w:tc>
          <w:tcPr>
            <w:tcW w:w="127"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8</w:t>
            </w:r>
          </w:p>
        </w:tc>
        <w:tc>
          <w:tcPr>
            <w:tcW w:w="148"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4</w:t>
            </w:r>
          </w:p>
        </w:tc>
        <w:tc>
          <w:tcPr>
            <w:tcW w:w="130"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7</w:t>
            </w:r>
          </w:p>
        </w:tc>
        <w:tc>
          <w:tcPr>
            <w:tcW w:w="134"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2</w:t>
            </w:r>
          </w:p>
        </w:tc>
        <w:tc>
          <w:tcPr>
            <w:tcW w:w="131"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5</w:t>
            </w: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single" w:sz="4" w:space="0" w:color="auto"/>
              <w:left w:val="single" w:sz="4" w:space="0" w:color="auto"/>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2</w:t>
            </w:r>
          </w:p>
        </w:tc>
        <w:tc>
          <w:tcPr>
            <w:tcW w:w="150"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0</w:t>
            </w:r>
          </w:p>
        </w:tc>
        <w:tc>
          <w:tcPr>
            <w:tcW w:w="133"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2</w:t>
            </w:r>
          </w:p>
        </w:tc>
        <w:tc>
          <w:tcPr>
            <w:tcW w:w="131" w:type="pct"/>
            <w:tcBorders>
              <w:top w:val="single" w:sz="4" w:space="0" w:color="auto"/>
              <w:left w:val="nil"/>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0</w:t>
            </w:r>
          </w:p>
        </w:tc>
        <w:tc>
          <w:tcPr>
            <w:tcW w:w="140"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5</w:t>
            </w:r>
          </w:p>
        </w:tc>
        <w:tc>
          <w:tcPr>
            <w:tcW w:w="124"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1</w:t>
            </w:r>
          </w:p>
        </w:tc>
        <w:tc>
          <w:tcPr>
            <w:tcW w:w="157"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3</w:t>
            </w:r>
          </w:p>
        </w:tc>
        <w:tc>
          <w:tcPr>
            <w:tcW w:w="126"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0</w:t>
            </w:r>
          </w:p>
        </w:tc>
        <w:tc>
          <w:tcPr>
            <w:tcW w:w="126" w:type="pct"/>
            <w:gridSpan w:val="2"/>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0</w:t>
            </w:r>
          </w:p>
        </w:tc>
        <w:tc>
          <w:tcPr>
            <w:tcW w:w="127"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2</w:t>
            </w:r>
          </w:p>
        </w:tc>
        <w:tc>
          <w:tcPr>
            <w:tcW w:w="188" w:type="pct"/>
            <w:tcBorders>
              <w:top w:val="single" w:sz="4" w:space="0" w:color="auto"/>
              <w:left w:val="nil"/>
              <w:bottom w:val="single" w:sz="4" w:space="0" w:color="auto"/>
              <w:right w:val="single" w:sz="4" w:space="0" w:color="auto"/>
            </w:tcBorders>
            <w:noWrap/>
          </w:tcPr>
          <w:p w:rsidR="005D2A89" w:rsidRDefault="002722A2">
            <w:pPr>
              <w:rPr>
                <w:rFonts w:cs="Arial"/>
                <w:sz w:val="18"/>
                <w:szCs w:val="18"/>
                <w:lang w:eastAsia="sk-SK"/>
              </w:rPr>
            </w:pPr>
            <w:r>
              <w:rPr>
                <w:rFonts w:cs="Arial"/>
                <w:sz w:val="18"/>
                <w:szCs w:val="18"/>
                <w:lang w:eastAsia="sk-SK"/>
              </w:rPr>
              <w:t>2</w:t>
            </w: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single" w:sz="4" w:space="0" w:color="auto"/>
              <w:left w:val="single" w:sz="4" w:space="0" w:color="auto"/>
              <w:bottom w:val="single" w:sz="4" w:space="0" w:color="auto"/>
              <w:right w:val="single" w:sz="4" w:space="0" w:color="auto"/>
            </w:tcBorders>
            <w:noWrap/>
          </w:tcPr>
          <w:p w:rsidR="00D72087" w:rsidRPr="00D72087" w:rsidRDefault="00AD6758" w:rsidP="002722A2">
            <w:pPr>
              <w:rPr>
                <w:rFonts w:cs="Arial"/>
                <w:sz w:val="18"/>
                <w:szCs w:val="18"/>
                <w:lang w:eastAsia="sk-SK"/>
              </w:rPr>
            </w:pPr>
            <w:r w:rsidRPr="00AD6758">
              <w:rPr>
                <w:rFonts w:cs="Arial"/>
                <w:sz w:val="18"/>
                <w:szCs w:val="18"/>
                <w:lang w:eastAsia="sk-SK"/>
              </w:rPr>
              <w:t> </w:t>
            </w:r>
            <w:r w:rsidR="002722A2">
              <w:rPr>
                <w:rFonts w:cs="Arial"/>
                <w:sz w:val="18"/>
                <w:szCs w:val="18"/>
                <w:lang w:eastAsia="sk-SK"/>
              </w:rPr>
              <w:t>1</w:t>
            </w:r>
          </w:p>
        </w:tc>
        <w:tc>
          <w:tcPr>
            <w:tcW w:w="153" w:type="pct"/>
            <w:tcBorders>
              <w:top w:val="single" w:sz="4" w:space="0" w:color="auto"/>
              <w:left w:val="nil"/>
              <w:bottom w:val="single" w:sz="4" w:space="0" w:color="auto"/>
              <w:right w:val="single" w:sz="4" w:space="0" w:color="auto"/>
            </w:tcBorders>
            <w:noWrap/>
          </w:tcPr>
          <w:p w:rsidR="00D72087" w:rsidRPr="00D72087" w:rsidRDefault="002722A2" w:rsidP="00D72087">
            <w:pPr>
              <w:rPr>
                <w:rFonts w:cs="Arial"/>
                <w:sz w:val="18"/>
                <w:szCs w:val="18"/>
                <w:lang w:eastAsia="sk-SK"/>
              </w:rPr>
            </w:pPr>
            <w:r>
              <w:rPr>
                <w:rFonts w:cs="Arial"/>
                <w:sz w:val="18"/>
                <w:szCs w:val="18"/>
                <w:lang w:eastAsia="sk-SK"/>
              </w:rPr>
              <w:t>6</w:t>
            </w:r>
          </w:p>
        </w:tc>
        <w:tc>
          <w:tcPr>
            <w:tcW w:w="118" w:type="pct"/>
            <w:tcBorders>
              <w:top w:val="nil"/>
              <w:left w:val="nil"/>
              <w:bottom w:val="nil"/>
              <w:right w:val="nil"/>
            </w:tcBorders>
            <w:noWrap/>
          </w:tcPr>
          <w:p w:rsidR="00D72087" w:rsidRPr="00D72087" w:rsidRDefault="002722A2" w:rsidP="00D72087">
            <w:pPr>
              <w:rPr>
                <w:rFonts w:cs="Arial"/>
                <w:sz w:val="18"/>
                <w:szCs w:val="18"/>
                <w:lang w:eastAsia="sk-SK"/>
              </w:rPr>
            </w:pPr>
            <w:r>
              <w:rPr>
                <w:rFonts w:cs="Arial"/>
                <w:sz w:val="18"/>
                <w:szCs w:val="18"/>
                <w:lang w:eastAsia="sk-SK"/>
              </w:rPr>
              <w:t>.</w:t>
            </w:r>
          </w:p>
        </w:tc>
        <w:tc>
          <w:tcPr>
            <w:tcW w:w="127" w:type="pct"/>
            <w:gridSpan w:val="2"/>
            <w:tcBorders>
              <w:top w:val="single" w:sz="4" w:space="0" w:color="auto"/>
              <w:left w:val="single" w:sz="4" w:space="0" w:color="auto"/>
              <w:bottom w:val="single" w:sz="4" w:space="0" w:color="auto"/>
              <w:right w:val="single" w:sz="4" w:space="0" w:color="auto"/>
            </w:tcBorders>
            <w:noWrap/>
          </w:tcPr>
          <w:p w:rsidR="00D72087" w:rsidRPr="00D72087" w:rsidRDefault="00F74799" w:rsidP="000A1BBA">
            <w:pPr>
              <w:rPr>
                <w:rFonts w:cs="Arial"/>
                <w:sz w:val="18"/>
                <w:szCs w:val="18"/>
                <w:lang w:eastAsia="sk-SK"/>
              </w:rPr>
            </w:pPr>
            <w:r>
              <w:rPr>
                <w:rFonts w:cs="Arial"/>
                <w:sz w:val="18"/>
                <w:szCs w:val="18"/>
                <w:lang w:eastAsia="sk-SK"/>
              </w:rPr>
              <w:t>1</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F74799" w:rsidP="000A1BBA">
            <w:pPr>
              <w:rPr>
                <w:rFonts w:cs="Arial"/>
                <w:sz w:val="18"/>
                <w:szCs w:val="18"/>
                <w:lang w:eastAsia="sk-SK"/>
              </w:rPr>
            </w:pPr>
            <w:r>
              <w:rPr>
                <w:rFonts w:cs="Arial"/>
                <w:sz w:val="18"/>
                <w:szCs w:val="18"/>
                <w:lang w:eastAsia="sk-SK"/>
              </w:rPr>
              <w:t>0</w:t>
            </w:r>
          </w:p>
        </w:tc>
        <w:tc>
          <w:tcPr>
            <w:tcW w:w="139" w:type="pct"/>
            <w:gridSpan w:val="3"/>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41" w:type="pct"/>
            <w:tcBorders>
              <w:top w:val="single" w:sz="4" w:space="0" w:color="auto"/>
              <w:left w:val="single" w:sz="4" w:space="0" w:color="auto"/>
              <w:bottom w:val="single" w:sz="4" w:space="0" w:color="auto"/>
              <w:right w:val="single" w:sz="4" w:space="0" w:color="auto"/>
            </w:tcBorders>
            <w:noWrap/>
          </w:tcPr>
          <w:p w:rsidR="00D72087" w:rsidRPr="00D72087" w:rsidRDefault="002722A2" w:rsidP="000A1BBA">
            <w:pPr>
              <w:rPr>
                <w:rFonts w:cs="Arial"/>
                <w:sz w:val="18"/>
                <w:szCs w:val="18"/>
                <w:lang w:eastAsia="sk-SK"/>
              </w:rPr>
            </w:pPr>
            <w:r>
              <w:rPr>
                <w:rFonts w:cs="Arial"/>
                <w:sz w:val="18"/>
                <w:szCs w:val="18"/>
                <w:lang w:eastAsia="sk-SK"/>
              </w:rPr>
              <w:t>0</w:t>
            </w: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2846" w:type="pct"/>
            <w:gridSpan w:val="21"/>
            <w:tcBorders>
              <w:top w:val="nil"/>
              <w:left w:val="nil"/>
              <w:bottom w:val="nil"/>
              <w:right w:val="nil"/>
            </w:tcBorders>
            <w:noWrap/>
          </w:tcPr>
          <w:p w:rsidR="00D72087" w:rsidRDefault="00D72087" w:rsidP="00D72087">
            <w:pPr>
              <w:rPr>
                <w:rFonts w:cs="Arial"/>
                <w:b/>
                <w:bCs/>
                <w:sz w:val="18"/>
                <w:szCs w:val="18"/>
                <w:lang w:eastAsia="sk-SK"/>
              </w:rPr>
            </w:pPr>
          </w:p>
          <w:p w:rsidR="001A1C39" w:rsidRPr="00D72087" w:rsidRDefault="001A1C39" w:rsidP="00D72087">
            <w:pPr>
              <w:rPr>
                <w:rFonts w:cs="Arial"/>
                <w:b/>
                <w:bCs/>
                <w:sz w:val="18"/>
                <w:szCs w:val="18"/>
                <w:lang w:eastAsia="sk-SK"/>
              </w:rPr>
            </w:pPr>
          </w:p>
          <w:p w:rsidR="00D72087" w:rsidRPr="00D72087" w:rsidRDefault="00AD6758" w:rsidP="00D72087">
            <w:pPr>
              <w:rPr>
                <w:rFonts w:cs="Arial"/>
                <w:b/>
                <w:bCs/>
                <w:sz w:val="18"/>
                <w:szCs w:val="18"/>
                <w:lang w:eastAsia="sk-SK"/>
              </w:rPr>
            </w:pPr>
            <w:r w:rsidRPr="00AD6758">
              <w:rPr>
                <w:rFonts w:cs="Arial"/>
                <w:b/>
                <w:bCs/>
                <w:sz w:val="18"/>
                <w:szCs w:val="18"/>
                <w:lang w:eastAsia="sk-SK"/>
              </w:rPr>
              <w:t>Obchodné meno (názov) účtovnej jednotky</w:t>
            </w: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P</w:t>
            </w:r>
          </w:p>
        </w:tc>
        <w:tc>
          <w:tcPr>
            <w:tcW w:w="152" w:type="pct"/>
            <w:tcBorders>
              <w:top w:val="single" w:sz="6" w:space="0" w:color="auto"/>
              <w:left w:val="single" w:sz="6" w:space="0" w:color="auto"/>
              <w:bottom w:val="single" w:sz="6" w:space="0" w:color="auto"/>
              <w:right w:val="single" w:sz="6" w:space="0" w:color="auto"/>
            </w:tcBorders>
            <w:noWrap/>
          </w:tcPr>
          <w:p w:rsidR="00D72087" w:rsidRPr="00D72087" w:rsidRDefault="00C16B00" w:rsidP="00C16B00">
            <w:pPr>
              <w:rPr>
                <w:rFonts w:cs="Arial"/>
                <w:sz w:val="18"/>
                <w:szCs w:val="18"/>
                <w:lang w:eastAsia="sk-SK"/>
              </w:rPr>
            </w:pPr>
            <w:r>
              <w:rPr>
                <w:rFonts w:cs="Arial"/>
                <w:sz w:val="18"/>
                <w:szCs w:val="18"/>
                <w:lang w:eastAsia="sk-SK"/>
              </w:rPr>
              <w:t>R</w:t>
            </w:r>
          </w:p>
        </w:tc>
        <w:tc>
          <w:tcPr>
            <w:tcW w:w="180"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O</w:t>
            </w:r>
            <w:r w:rsidR="00AD6758" w:rsidRPr="00AD6758">
              <w:rPr>
                <w:rFonts w:cs="Arial"/>
                <w:sz w:val="18"/>
                <w:szCs w:val="18"/>
                <w:lang w:eastAsia="sk-SK"/>
              </w:rPr>
              <w:t> </w:t>
            </w:r>
          </w:p>
        </w:tc>
        <w:tc>
          <w:tcPr>
            <w:tcW w:w="127" w:type="pct"/>
            <w:tcBorders>
              <w:top w:val="single" w:sz="6" w:space="0" w:color="auto"/>
              <w:left w:val="single" w:sz="6" w:space="0" w:color="auto"/>
              <w:bottom w:val="single" w:sz="6" w:space="0" w:color="auto"/>
              <w:righ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8"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P</w:t>
            </w:r>
          </w:p>
        </w:tc>
        <w:tc>
          <w:tcPr>
            <w:tcW w:w="130" w:type="pct"/>
            <w:tcBorders>
              <w:top w:val="single" w:sz="6" w:space="0" w:color="auto"/>
              <w:left w:val="single" w:sz="6" w:space="0" w:color="auto"/>
              <w:bottom w:val="single" w:sz="6" w:space="0" w:color="auto"/>
              <w:right w:val="single" w:sz="6" w:space="0" w:color="auto"/>
            </w:tcBorders>
            <w:noWrap/>
          </w:tcPr>
          <w:p w:rsidR="00D72087" w:rsidRPr="00D72087" w:rsidRDefault="00C16B00" w:rsidP="00D72087">
            <w:pPr>
              <w:rPr>
                <w:rFonts w:cs="Arial"/>
                <w:sz w:val="18"/>
                <w:szCs w:val="18"/>
                <w:lang w:eastAsia="sk-SK"/>
              </w:rPr>
            </w:pPr>
            <w:r>
              <w:rPr>
                <w:rFonts w:cs="Arial"/>
                <w:sz w:val="18"/>
                <w:szCs w:val="18"/>
                <w:lang w:eastAsia="sk-SK"/>
              </w:rPr>
              <w:t>O</w:t>
            </w:r>
          </w:p>
        </w:tc>
        <w:tc>
          <w:tcPr>
            <w:tcW w:w="134" w:type="pct"/>
            <w:tcBorders>
              <w:top w:val="single" w:sz="6" w:space="0" w:color="auto"/>
              <w:left w:val="single" w:sz="6" w:space="0" w:color="auto"/>
              <w:bottom w:val="single" w:sz="6" w:space="0" w:color="auto"/>
              <w:right w:val="single" w:sz="6" w:space="0" w:color="auto"/>
            </w:tcBorders>
            <w:noWrap/>
          </w:tcPr>
          <w:p w:rsidR="005D2A89" w:rsidRDefault="00C16B00" w:rsidP="00C16B00">
            <w:pPr>
              <w:rPr>
                <w:rFonts w:cs="Arial"/>
                <w:sz w:val="18"/>
                <w:szCs w:val="18"/>
                <w:lang w:eastAsia="sk-SK"/>
              </w:rPr>
            </w:pPr>
            <w:r>
              <w:rPr>
                <w:rFonts w:cs="Arial"/>
                <w:sz w:val="18"/>
                <w:szCs w:val="18"/>
                <w:lang w:eastAsia="sk-SK"/>
              </w:rPr>
              <w:t>P</w:t>
            </w:r>
          </w:p>
        </w:tc>
        <w:tc>
          <w:tcPr>
            <w:tcW w:w="131"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U</w:t>
            </w:r>
          </w:p>
        </w:tc>
        <w:tc>
          <w:tcPr>
            <w:tcW w:w="133"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L</w:t>
            </w:r>
          </w:p>
        </w:tc>
        <w:tc>
          <w:tcPr>
            <w:tcW w:w="149"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O</w:t>
            </w:r>
          </w:p>
        </w:tc>
        <w:tc>
          <w:tcPr>
            <w:tcW w:w="150" w:type="pct"/>
            <w:tcBorders>
              <w:top w:val="single" w:sz="6" w:space="0" w:color="auto"/>
              <w:left w:val="single" w:sz="6" w:space="0" w:color="auto"/>
              <w:bottom w:val="single" w:sz="6" w:space="0" w:color="auto"/>
              <w:right w:val="single" w:sz="6" w:space="0" w:color="auto"/>
            </w:tcBorders>
            <w:noWrap/>
          </w:tcPr>
          <w:p w:rsidR="005D2A89" w:rsidRDefault="005D2A89">
            <w:pPr>
              <w:rPr>
                <w:rFonts w:cs="Arial"/>
                <w:sz w:val="18"/>
                <w:szCs w:val="18"/>
                <w:lang w:eastAsia="sk-SK"/>
              </w:rPr>
            </w:pPr>
          </w:p>
        </w:tc>
        <w:tc>
          <w:tcPr>
            <w:tcW w:w="133"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P</w:t>
            </w:r>
          </w:p>
        </w:tc>
        <w:tc>
          <w:tcPr>
            <w:tcW w:w="131" w:type="pct"/>
            <w:tcBorders>
              <w:top w:val="single" w:sz="6" w:space="0" w:color="auto"/>
              <w:left w:val="single" w:sz="6" w:space="0" w:color="auto"/>
              <w:bottom w:val="single" w:sz="6" w:space="0" w:color="auto"/>
              <w:right w:val="single" w:sz="6" w:space="0" w:color="auto"/>
            </w:tcBorders>
            <w:noWrap/>
          </w:tcPr>
          <w:p w:rsidR="005D2A89" w:rsidRDefault="00C16B00">
            <w:pPr>
              <w:rPr>
                <w:rFonts w:cs="Arial"/>
                <w:sz w:val="18"/>
                <w:szCs w:val="18"/>
                <w:lang w:eastAsia="sk-SK"/>
              </w:rPr>
            </w:pPr>
            <w:r>
              <w:rPr>
                <w:rFonts w:cs="Arial"/>
                <w:sz w:val="18"/>
                <w:szCs w:val="18"/>
                <w:lang w:eastAsia="sk-SK"/>
              </w:rPr>
              <w:t>P</w:t>
            </w:r>
          </w:p>
        </w:tc>
        <w:tc>
          <w:tcPr>
            <w:tcW w:w="140" w:type="pct"/>
            <w:tcBorders>
              <w:top w:val="single" w:sz="6" w:space="0" w:color="auto"/>
              <w:left w:val="single" w:sz="6" w:space="0" w:color="auto"/>
              <w:bottom w:val="single" w:sz="6" w:space="0" w:color="auto"/>
              <w:right w:val="single" w:sz="6"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4" w:type="pct"/>
            <w:tcBorders>
              <w:top w:val="single" w:sz="6" w:space="0" w:color="auto"/>
              <w:left w:val="single" w:sz="6" w:space="0" w:color="auto"/>
              <w:bottom w:val="single" w:sz="6" w:space="0" w:color="auto"/>
              <w:right w:val="single" w:sz="6" w:space="0" w:color="auto"/>
            </w:tcBorders>
            <w:noWrap/>
          </w:tcPr>
          <w:p w:rsidR="00D72087" w:rsidRPr="00D72087" w:rsidRDefault="00C16B00" w:rsidP="000A1BBA">
            <w:pPr>
              <w:rPr>
                <w:rFonts w:cs="Arial"/>
                <w:sz w:val="18"/>
                <w:szCs w:val="18"/>
                <w:lang w:eastAsia="sk-SK"/>
              </w:rPr>
            </w:pPr>
            <w:r>
              <w:rPr>
                <w:rFonts w:cs="Arial"/>
                <w:sz w:val="18"/>
                <w:szCs w:val="18"/>
                <w:lang w:eastAsia="sk-SK"/>
              </w:rPr>
              <w:t>a</w:t>
            </w:r>
          </w:p>
        </w:tc>
        <w:tc>
          <w:tcPr>
            <w:tcW w:w="157" w:type="pct"/>
            <w:tcBorders>
              <w:top w:val="single" w:sz="4" w:space="0" w:color="auto"/>
              <w:left w:val="single" w:sz="6" w:space="0" w:color="auto"/>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w:t>
            </w:r>
          </w:p>
        </w:tc>
        <w:tc>
          <w:tcPr>
            <w:tcW w:w="126"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s</w:t>
            </w:r>
          </w:p>
        </w:tc>
        <w:tc>
          <w:tcPr>
            <w:tcW w:w="126" w:type="pct"/>
            <w:gridSpan w:val="2"/>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w:t>
            </w:r>
          </w:p>
        </w:tc>
        <w:tc>
          <w:tcPr>
            <w:tcW w:w="127" w:type="pct"/>
            <w:tcBorders>
              <w:top w:val="single" w:sz="4" w:space="0" w:color="auto"/>
              <w:left w:val="nil"/>
              <w:bottom w:val="single" w:sz="4" w:space="0" w:color="auto"/>
              <w:right w:val="single" w:sz="4" w:space="0" w:color="auto"/>
            </w:tcBorders>
            <w:noWrap/>
          </w:tcPr>
          <w:p w:rsidR="005D2A89" w:rsidRDefault="00C16B00" w:rsidP="00C16B00">
            <w:pPr>
              <w:rPr>
                <w:rFonts w:cs="Arial"/>
                <w:sz w:val="18"/>
                <w:szCs w:val="18"/>
                <w:lang w:eastAsia="sk-SK"/>
              </w:rPr>
            </w:pPr>
            <w:r>
              <w:rPr>
                <w:rFonts w:cs="Arial"/>
                <w:sz w:val="18"/>
                <w:szCs w:val="18"/>
                <w:lang w:eastAsia="sk-SK"/>
              </w:rPr>
              <w:t xml:space="preserve">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5B316E" w:rsidRPr="00D72087" w:rsidTr="000A1BBA">
        <w:trPr>
          <w:trHeight w:val="57"/>
          <w:jc w:val="center"/>
        </w:trPr>
        <w:tc>
          <w:tcPr>
            <w:tcW w:w="164" w:type="pct"/>
            <w:tcBorders>
              <w:top w:val="single" w:sz="6"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2"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8"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1"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3"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3"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1"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0"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4" w:type="pct"/>
            <w:tcBorders>
              <w:top w:val="single" w:sz="6"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7"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nil"/>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D72087" w:rsidRPr="00D72087" w:rsidTr="000A1BBA">
        <w:trPr>
          <w:trHeight w:val="57"/>
          <w:jc w:val="center"/>
        </w:trPr>
        <w:tc>
          <w:tcPr>
            <w:tcW w:w="5000" w:type="pct"/>
            <w:gridSpan w:val="46"/>
            <w:tcBorders>
              <w:top w:val="nil"/>
              <w:left w:val="nil"/>
              <w:bottom w:val="nil"/>
              <w:right w:val="nil"/>
            </w:tcBorders>
            <w:noWrap/>
          </w:tcPr>
          <w:p w:rsidR="00D72087" w:rsidRPr="00D72087" w:rsidRDefault="00D72087" w:rsidP="00D72087">
            <w:pPr>
              <w:rPr>
                <w:rFonts w:cs="Arial"/>
                <w:b/>
                <w:bCs/>
                <w:sz w:val="18"/>
                <w:szCs w:val="18"/>
                <w:lang w:eastAsia="sk-SK"/>
              </w:rPr>
            </w:pPr>
          </w:p>
          <w:p w:rsidR="001A1C39" w:rsidRDefault="001A1C39" w:rsidP="00D72087">
            <w:pPr>
              <w:rPr>
                <w:rFonts w:cs="Arial"/>
                <w:b/>
                <w:bCs/>
                <w:sz w:val="18"/>
                <w:szCs w:val="18"/>
                <w:lang w:eastAsia="sk-SK"/>
              </w:rPr>
            </w:pPr>
          </w:p>
          <w:p w:rsidR="00D72087" w:rsidRPr="00D72087" w:rsidRDefault="00AD6758" w:rsidP="00D72087">
            <w:pPr>
              <w:rPr>
                <w:rFonts w:cs="Arial"/>
                <w:b/>
                <w:sz w:val="18"/>
                <w:szCs w:val="18"/>
                <w:lang w:eastAsia="sk-SK"/>
              </w:rPr>
            </w:pPr>
            <w:r w:rsidRPr="00AD6758">
              <w:rPr>
                <w:rFonts w:cs="Arial"/>
                <w:b/>
                <w:bCs/>
                <w:sz w:val="18"/>
                <w:szCs w:val="18"/>
                <w:lang w:eastAsia="sk-SK"/>
              </w:rPr>
              <w:t xml:space="preserve">Sídlo </w:t>
            </w:r>
            <w:r w:rsidRPr="00AD6758">
              <w:rPr>
                <w:rFonts w:cs="Arial"/>
                <w:b/>
                <w:sz w:val="18"/>
                <w:szCs w:val="18"/>
                <w:lang w:eastAsia="sk-SK"/>
              </w:rPr>
              <w:t>účtovnej jednotky</w:t>
            </w:r>
          </w:p>
          <w:p w:rsidR="00D72087" w:rsidRPr="00D72087" w:rsidRDefault="00AD6758" w:rsidP="00D72087">
            <w:pPr>
              <w:rPr>
                <w:rFonts w:cs="Arial"/>
                <w:b/>
                <w:sz w:val="18"/>
                <w:szCs w:val="18"/>
                <w:lang w:eastAsia="sk-SK"/>
              </w:rPr>
            </w:pPr>
            <w:r w:rsidRPr="00AD6758">
              <w:rPr>
                <w:rFonts w:cs="Arial"/>
                <w:b/>
                <w:sz w:val="18"/>
                <w:szCs w:val="18"/>
                <w:lang w:eastAsia="sk-SK"/>
              </w:rPr>
              <w:t xml:space="preserve">Ulica                                                                                                                                      </w:t>
            </w:r>
            <w:r w:rsidR="000A1BBA">
              <w:rPr>
                <w:rFonts w:cs="Arial"/>
                <w:b/>
                <w:sz w:val="18"/>
                <w:szCs w:val="18"/>
                <w:lang w:eastAsia="sk-SK"/>
              </w:rPr>
              <w:t xml:space="preserve">                    </w:t>
            </w:r>
            <w:r w:rsidRPr="00AD6758">
              <w:rPr>
                <w:rFonts w:cs="Arial"/>
                <w:b/>
                <w:sz w:val="18"/>
                <w:szCs w:val="18"/>
                <w:lang w:eastAsia="sk-SK"/>
              </w:rPr>
              <w:t>Číslo</w:t>
            </w: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N</w:t>
            </w:r>
          </w:p>
        </w:tc>
        <w:tc>
          <w:tcPr>
            <w:tcW w:w="152"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Á</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M</w:t>
            </w:r>
          </w:p>
        </w:tc>
        <w:tc>
          <w:tcPr>
            <w:tcW w:w="127"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w:t>
            </w:r>
          </w:p>
        </w:tc>
        <w:tc>
          <w:tcPr>
            <w:tcW w:w="148"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S</w:t>
            </w:r>
          </w:p>
        </w:tc>
        <w:tc>
          <w:tcPr>
            <w:tcW w:w="130"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V</w:t>
            </w:r>
          </w:p>
        </w:tc>
        <w:tc>
          <w:tcPr>
            <w:tcW w:w="134"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E</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G</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Í</w:t>
            </w:r>
          </w:p>
        </w:tc>
        <w:tc>
          <w:tcPr>
            <w:tcW w:w="15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D</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I</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A</w:t>
            </w:r>
          </w:p>
        </w:tc>
        <w:tc>
          <w:tcPr>
            <w:tcW w:w="14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4"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left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single" w:sz="4" w:space="0" w:color="auto"/>
              <w:bottom w:val="single" w:sz="4" w:space="0" w:color="auto"/>
              <w:right w:val="single" w:sz="4" w:space="0" w:color="auto"/>
            </w:tcBorders>
            <w:noWrap/>
          </w:tcPr>
          <w:p w:rsidR="00D72087" w:rsidRPr="000A1BBA" w:rsidRDefault="00AD6758" w:rsidP="00C16B00">
            <w:pPr>
              <w:rPr>
                <w:rFonts w:cs="Arial"/>
                <w:sz w:val="18"/>
                <w:szCs w:val="18"/>
                <w:lang w:val="en-US" w:eastAsia="sk-SK"/>
              </w:rPr>
            </w:pPr>
            <w:r w:rsidRPr="00AD6758">
              <w:rPr>
                <w:rFonts w:cs="Arial"/>
                <w:sz w:val="18"/>
                <w:szCs w:val="18"/>
                <w:lang w:eastAsia="sk-SK"/>
              </w:rPr>
              <w:t> </w:t>
            </w:r>
            <w:r w:rsidR="00C16B00">
              <w:rPr>
                <w:rFonts w:cs="Arial"/>
                <w:sz w:val="18"/>
                <w:szCs w:val="18"/>
                <w:lang w:eastAsia="sk-SK"/>
              </w:rPr>
              <w:t>7</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8</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5B316E" w:rsidRPr="00D72087" w:rsidTr="000A1BBA">
        <w:trPr>
          <w:trHeight w:val="57"/>
          <w:jc w:val="center"/>
        </w:trPr>
        <w:tc>
          <w:tcPr>
            <w:tcW w:w="2405" w:type="pct"/>
            <w:gridSpan w:val="17"/>
            <w:tcBorders>
              <w:top w:val="nil"/>
              <w:left w:val="nil"/>
              <w:bottom w:val="nil"/>
              <w:right w:val="nil"/>
            </w:tcBorders>
            <w:noWrap/>
          </w:tcPr>
          <w:p w:rsidR="00D72087" w:rsidRPr="00D72087" w:rsidRDefault="00D72087" w:rsidP="00D72087">
            <w:pPr>
              <w:rPr>
                <w:rFonts w:cs="Arial"/>
                <w:b/>
                <w:bCs/>
                <w:sz w:val="18"/>
                <w:szCs w:val="18"/>
                <w:lang w:eastAsia="sk-SK"/>
              </w:rPr>
            </w:pPr>
          </w:p>
          <w:p w:rsidR="001A1C39" w:rsidRDefault="001A1C39" w:rsidP="00D72087">
            <w:pPr>
              <w:rPr>
                <w:rFonts w:cs="Arial"/>
                <w:b/>
                <w:bCs/>
                <w:sz w:val="18"/>
                <w:szCs w:val="18"/>
                <w:lang w:eastAsia="sk-SK"/>
              </w:rPr>
            </w:pPr>
          </w:p>
          <w:p w:rsidR="00D72087" w:rsidRPr="00D72087" w:rsidRDefault="00AD6758" w:rsidP="00D72087">
            <w:pPr>
              <w:rPr>
                <w:rFonts w:cs="Arial"/>
                <w:sz w:val="18"/>
                <w:szCs w:val="18"/>
                <w:lang w:eastAsia="sk-SK"/>
              </w:rPr>
            </w:pPr>
            <w:r w:rsidRPr="00AD6758">
              <w:rPr>
                <w:rFonts w:cs="Arial"/>
                <w:b/>
                <w:bCs/>
                <w:sz w:val="18"/>
                <w:szCs w:val="18"/>
                <w:lang w:eastAsia="sk-SK"/>
              </w:rPr>
              <w:t xml:space="preserve">PSČ                              </w:t>
            </w:r>
            <w:r w:rsidR="000A1BBA">
              <w:rPr>
                <w:rFonts w:cs="Arial"/>
                <w:b/>
                <w:bCs/>
                <w:sz w:val="18"/>
                <w:szCs w:val="18"/>
                <w:lang w:eastAsia="sk-SK"/>
              </w:rPr>
              <w:t xml:space="preserve">     </w:t>
            </w:r>
            <w:r w:rsidRPr="00AD6758">
              <w:rPr>
                <w:rFonts w:cs="Arial"/>
                <w:b/>
                <w:bCs/>
                <w:sz w:val="18"/>
                <w:szCs w:val="18"/>
                <w:lang w:eastAsia="sk-SK"/>
              </w:rPr>
              <w:t>Názov obce</w:t>
            </w: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C16B00">
            <w:pPr>
              <w:rPr>
                <w:rFonts w:cs="Arial"/>
                <w:sz w:val="18"/>
                <w:szCs w:val="18"/>
                <w:lang w:eastAsia="sk-SK"/>
              </w:rPr>
            </w:pPr>
            <w:r w:rsidRPr="00AD6758">
              <w:rPr>
                <w:rFonts w:cs="Arial"/>
                <w:sz w:val="18"/>
                <w:szCs w:val="18"/>
                <w:lang w:eastAsia="sk-SK"/>
              </w:rPr>
              <w:t> </w:t>
            </w:r>
            <w:r w:rsidR="00C16B00">
              <w:rPr>
                <w:rFonts w:cs="Arial"/>
                <w:sz w:val="18"/>
                <w:szCs w:val="18"/>
                <w:lang w:eastAsia="sk-SK"/>
              </w:rPr>
              <w:t>0</w:t>
            </w:r>
          </w:p>
        </w:tc>
        <w:tc>
          <w:tcPr>
            <w:tcW w:w="152"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5</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8</w:t>
            </w:r>
          </w:p>
        </w:tc>
        <w:tc>
          <w:tcPr>
            <w:tcW w:w="127"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0</w:t>
            </w:r>
          </w:p>
        </w:tc>
        <w:tc>
          <w:tcPr>
            <w:tcW w:w="148"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1</w:t>
            </w:r>
          </w:p>
        </w:tc>
        <w:tc>
          <w:tcPr>
            <w:tcW w:w="130" w:type="pct"/>
            <w:tcBorders>
              <w:lef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P</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O</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P</w:t>
            </w:r>
          </w:p>
        </w:tc>
        <w:tc>
          <w:tcPr>
            <w:tcW w:w="150" w:type="pct"/>
            <w:tcBorders>
              <w:top w:val="single" w:sz="4" w:space="0" w:color="auto"/>
              <w:left w:val="nil"/>
              <w:bottom w:val="single" w:sz="4" w:space="0" w:color="auto"/>
              <w:right w:val="single" w:sz="4" w:space="0" w:color="auto"/>
            </w:tcBorders>
            <w:noWrap/>
          </w:tcPr>
          <w:p w:rsidR="005D2A89" w:rsidRDefault="00C16B00">
            <w:pPr>
              <w:rPr>
                <w:rFonts w:cs="Arial"/>
                <w:sz w:val="18"/>
                <w:szCs w:val="18"/>
                <w:lang w:eastAsia="sk-SK"/>
              </w:rPr>
            </w:pPr>
            <w:r>
              <w:rPr>
                <w:rFonts w:cs="Arial"/>
                <w:sz w:val="18"/>
                <w:szCs w:val="18"/>
                <w:lang w:eastAsia="sk-SK"/>
              </w:rPr>
              <w:t>R</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A</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0A1BBA">
            <w:pPr>
              <w:rPr>
                <w:rFonts w:cs="Arial"/>
                <w:sz w:val="18"/>
                <w:szCs w:val="18"/>
                <w:lang w:eastAsia="sk-SK"/>
              </w:rPr>
            </w:pPr>
            <w:r>
              <w:rPr>
                <w:rFonts w:cs="Arial"/>
                <w:sz w:val="18"/>
                <w:szCs w:val="18"/>
                <w:lang w:eastAsia="sk-SK"/>
              </w:rPr>
              <w:t>D</w:t>
            </w:r>
          </w:p>
        </w:tc>
        <w:tc>
          <w:tcPr>
            <w:tcW w:w="140" w:type="pct"/>
            <w:tcBorders>
              <w:top w:val="single" w:sz="4" w:space="0" w:color="auto"/>
              <w:left w:val="nil"/>
              <w:bottom w:val="single" w:sz="4" w:space="0" w:color="auto"/>
              <w:right w:val="single" w:sz="4" w:space="0" w:color="auto"/>
            </w:tcBorders>
            <w:noWrap/>
          </w:tcPr>
          <w:p w:rsidR="00D72087" w:rsidRPr="00D72087" w:rsidRDefault="00D72087" w:rsidP="000A1BBA">
            <w:pPr>
              <w:rPr>
                <w:rFonts w:cs="Arial"/>
                <w:sz w:val="18"/>
                <w:szCs w:val="18"/>
                <w:lang w:eastAsia="sk-SK"/>
              </w:rPr>
            </w:pPr>
          </w:p>
        </w:tc>
        <w:tc>
          <w:tcPr>
            <w:tcW w:w="124" w:type="pct"/>
            <w:tcBorders>
              <w:top w:val="single" w:sz="4" w:space="0" w:color="auto"/>
              <w:left w:val="nil"/>
              <w:bottom w:val="single" w:sz="4" w:space="0" w:color="auto"/>
              <w:right w:val="single" w:sz="4" w:space="0" w:color="auto"/>
            </w:tcBorders>
            <w:noWrap/>
          </w:tcPr>
          <w:p w:rsidR="005D2A89" w:rsidRDefault="005D2A89">
            <w:pPr>
              <w:rPr>
                <w:rFonts w:cs="Arial"/>
                <w:sz w:val="18"/>
                <w:szCs w:val="18"/>
                <w:lang w:eastAsia="sk-SK"/>
              </w:rPr>
            </w:pPr>
          </w:p>
        </w:tc>
        <w:tc>
          <w:tcPr>
            <w:tcW w:w="157" w:type="pct"/>
            <w:tcBorders>
              <w:top w:val="single" w:sz="4" w:space="0" w:color="auto"/>
              <w:left w:val="nil"/>
              <w:bottom w:val="single" w:sz="4" w:space="0" w:color="auto"/>
              <w:right w:val="single" w:sz="4" w:space="0" w:color="auto"/>
            </w:tcBorders>
            <w:noWrap/>
          </w:tcPr>
          <w:p w:rsidR="005D2A89" w:rsidRDefault="005D2A89">
            <w:pPr>
              <w:rPr>
                <w:rFonts w:cs="Arial"/>
                <w:sz w:val="18"/>
                <w:szCs w:val="18"/>
                <w:lang w:eastAsia="sk-SK"/>
              </w:rPr>
            </w:pPr>
          </w:p>
        </w:tc>
        <w:tc>
          <w:tcPr>
            <w:tcW w:w="126" w:type="pct"/>
            <w:tcBorders>
              <w:top w:val="single" w:sz="4" w:space="0" w:color="auto"/>
              <w:left w:val="nil"/>
              <w:bottom w:val="single" w:sz="4" w:space="0" w:color="auto"/>
              <w:right w:val="single" w:sz="4" w:space="0" w:color="auto"/>
            </w:tcBorders>
            <w:noWrap/>
          </w:tcPr>
          <w:p w:rsidR="005D2A89" w:rsidRDefault="005D2A89">
            <w:pPr>
              <w:rPr>
                <w:rFonts w:cs="Arial"/>
                <w:sz w:val="18"/>
                <w:szCs w:val="18"/>
                <w:lang w:eastAsia="sk-SK"/>
              </w:rPr>
            </w:pP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D72087" w:rsidRPr="00D72087" w:rsidTr="000A1BBA">
        <w:trPr>
          <w:trHeight w:val="57"/>
          <w:jc w:val="center"/>
        </w:trPr>
        <w:tc>
          <w:tcPr>
            <w:tcW w:w="5000" w:type="pct"/>
            <w:gridSpan w:val="46"/>
            <w:tcBorders>
              <w:top w:val="nil"/>
              <w:left w:val="nil"/>
              <w:bottom w:val="nil"/>
              <w:right w:val="nil"/>
            </w:tcBorders>
            <w:noWrap/>
          </w:tcPr>
          <w:p w:rsidR="00D72087" w:rsidRPr="00D72087" w:rsidRDefault="00D72087" w:rsidP="00D72087">
            <w:pPr>
              <w:rPr>
                <w:rFonts w:cs="Arial"/>
                <w:sz w:val="18"/>
                <w:szCs w:val="18"/>
                <w:lang w:eastAsia="sk-SK"/>
              </w:rPr>
            </w:pPr>
          </w:p>
        </w:tc>
      </w:tr>
      <w:tr w:rsidR="00D72087" w:rsidRPr="00D72087" w:rsidTr="000A1BBA">
        <w:trPr>
          <w:trHeight w:val="57"/>
          <w:jc w:val="center"/>
        </w:trPr>
        <w:tc>
          <w:tcPr>
            <w:tcW w:w="5000" w:type="pct"/>
            <w:gridSpan w:val="46"/>
            <w:tcBorders>
              <w:top w:val="nil"/>
              <w:left w:val="nil"/>
              <w:bottom w:val="nil"/>
              <w:right w:val="nil"/>
            </w:tcBorders>
            <w:noWrap/>
          </w:tcPr>
          <w:p w:rsidR="001A1C39" w:rsidRDefault="001A1C39" w:rsidP="00D72087">
            <w:pPr>
              <w:rPr>
                <w:rFonts w:cs="Arial"/>
                <w:b/>
                <w:sz w:val="18"/>
                <w:szCs w:val="18"/>
                <w:lang w:eastAsia="sk-SK"/>
              </w:rPr>
            </w:pPr>
          </w:p>
          <w:p w:rsidR="00D72087" w:rsidRPr="00D72087" w:rsidRDefault="00AD6758" w:rsidP="00D72087">
            <w:pPr>
              <w:rPr>
                <w:rFonts w:cs="Arial"/>
                <w:b/>
                <w:sz w:val="18"/>
                <w:szCs w:val="18"/>
                <w:lang w:eastAsia="sk-SK"/>
              </w:rPr>
            </w:pPr>
            <w:r w:rsidRPr="00AD6758">
              <w:rPr>
                <w:rFonts w:cs="Arial"/>
                <w:b/>
                <w:sz w:val="18"/>
                <w:szCs w:val="18"/>
                <w:lang w:eastAsia="sk-SK"/>
              </w:rPr>
              <w:t xml:space="preserve">Číslo telefónu                                                     </w:t>
            </w:r>
            <w:r w:rsidR="001A1C39">
              <w:rPr>
                <w:rFonts w:cs="Arial"/>
                <w:b/>
                <w:sz w:val="18"/>
                <w:szCs w:val="18"/>
                <w:lang w:eastAsia="sk-SK"/>
              </w:rPr>
              <w:t xml:space="preserve">            </w:t>
            </w:r>
            <w:r w:rsidRPr="00AD6758">
              <w:rPr>
                <w:rFonts w:cs="Arial"/>
                <w:b/>
                <w:sz w:val="18"/>
                <w:szCs w:val="18"/>
                <w:lang w:eastAsia="sk-SK"/>
              </w:rPr>
              <w:t>Číslo faxu</w:t>
            </w: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0</w:t>
            </w:r>
          </w:p>
        </w:tc>
        <w:tc>
          <w:tcPr>
            <w:tcW w:w="152"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r w:rsidR="00C16B00">
              <w:rPr>
                <w:rFonts w:cs="Arial"/>
                <w:sz w:val="18"/>
                <w:szCs w:val="18"/>
                <w:lang w:eastAsia="sk-SK"/>
              </w:rPr>
              <w:t>5</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8" w:type="pct"/>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30"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34"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1</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5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3</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4</w:t>
            </w:r>
          </w:p>
        </w:tc>
        <w:tc>
          <w:tcPr>
            <w:tcW w:w="13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single" w:sz="4"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0</w:t>
            </w:r>
          </w:p>
        </w:tc>
        <w:tc>
          <w:tcPr>
            <w:tcW w:w="126"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5</w:t>
            </w: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nil"/>
              <w:left w:val="nil"/>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w:t>
            </w:r>
          </w:p>
        </w:tc>
        <w:tc>
          <w:tcPr>
            <w:tcW w:w="115" w:type="pct"/>
            <w:tcBorders>
              <w:top w:val="single" w:sz="4" w:space="0" w:color="auto"/>
              <w:left w:val="single" w:sz="4" w:space="0" w:color="auto"/>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5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2</w:t>
            </w:r>
          </w:p>
        </w:tc>
        <w:tc>
          <w:tcPr>
            <w:tcW w:w="118"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1</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7</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3</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4</w:t>
            </w:r>
          </w:p>
        </w:tc>
        <w:tc>
          <w:tcPr>
            <w:tcW w:w="141" w:type="pct"/>
            <w:tcBorders>
              <w:top w:val="single" w:sz="4" w:space="0" w:color="auto"/>
              <w:left w:val="nil"/>
              <w:bottom w:val="single" w:sz="4" w:space="0" w:color="auto"/>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nil"/>
              <w:left w:val="single" w:sz="4" w:space="0" w:color="auto"/>
              <w:bottom w:val="nil"/>
              <w:right w:val="nil"/>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4007CA" w:rsidRPr="00D72087" w:rsidTr="000A1BBA">
        <w:trPr>
          <w:trHeight w:val="57"/>
          <w:jc w:val="center"/>
        </w:trPr>
        <w:tc>
          <w:tcPr>
            <w:tcW w:w="1034" w:type="pct"/>
            <w:gridSpan w:val="7"/>
            <w:tcBorders>
              <w:top w:val="nil"/>
              <w:left w:val="nil"/>
              <w:bottom w:val="nil"/>
              <w:right w:val="nil"/>
            </w:tcBorders>
            <w:noWrap/>
          </w:tcPr>
          <w:p w:rsidR="00D72087" w:rsidRPr="00D72087" w:rsidRDefault="00D72087" w:rsidP="00D72087">
            <w:pPr>
              <w:rPr>
                <w:rFonts w:cs="Arial"/>
                <w:b/>
                <w:bCs/>
                <w:sz w:val="18"/>
                <w:szCs w:val="18"/>
                <w:lang w:eastAsia="sk-SK"/>
              </w:rPr>
            </w:pPr>
          </w:p>
          <w:p w:rsidR="001A1C39" w:rsidRDefault="001A1C39" w:rsidP="00D72087">
            <w:pPr>
              <w:rPr>
                <w:rFonts w:cs="Arial"/>
                <w:b/>
                <w:bCs/>
                <w:sz w:val="18"/>
                <w:szCs w:val="18"/>
                <w:lang w:eastAsia="sk-SK"/>
              </w:rPr>
            </w:pPr>
          </w:p>
          <w:p w:rsidR="00D72087" w:rsidRPr="00D72087" w:rsidRDefault="00AD6758" w:rsidP="00D72087">
            <w:pPr>
              <w:rPr>
                <w:rFonts w:cs="Arial"/>
                <w:b/>
                <w:bCs/>
                <w:sz w:val="18"/>
                <w:szCs w:val="18"/>
                <w:lang w:eastAsia="sk-SK"/>
              </w:rPr>
            </w:pPr>
            <w:r w:rsidRPr="00AD6758">
              <w:rPr>
                <w:rFonts w:cs="Arial"/>
                <w:b/>
                <w:bCs/>
                <w:sz w:val="18"/>
                <w:szCs w:val="18"/>
                <w:lang w:eastAsia="sk-SK"/>
              </w:rPr>
              <w:t>E-mailová adresa</w:t>
            </w: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5B316E" w:rsidRPr="00D72087" w:rsidTr="000A1BBA">
        <w:trPr>
          <w:trHeight w:val="57"/>
          <w:jc w:val="center"/>
        </w:trPr>
        <w:tc>
          <w:tcPr>
            <w:tcW w:w="164" w:type="pct"/>
            <w:tcBorders>
              <w:top w:val="single" w:sz="4" w:space="0" w:color="auto"/>
              <w:left w:val="single" w:sz="4" w:space="0" w:color="auto"/>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r w:rsidR="00C16B00">
              <w:rPr>
                <w:rFonts w:cs="Arial"/>
                <w:sz w:val="18"/>
                <w:szCs w:val="18"/>
                <w:lang w:eastAsia="sk-SK"/>
              </w:rPr>
              <w:t>P</w:t>
            </w:r>
          </w:p>
        </w:tc>
        <w:tc>
          <w:tcPr>
            <w:tcW w:w="152"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r w:rsidR="00C16B00">
              <w:rPr>
                <w:rFonts w:cs="Arial"/>
                <w:sz w:val="18"/>
                <w:szCs w:val="18"/>
                <w:lang w:eastAsia="sk-SK"/>
              </w:rPr>
              <w:t>P</w:t>
            </w:r>
          </w:p>
        </w:tc>
        <w:tc>
          <w:tcPr>
            <w:tcW w:w="18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A</w:t>
            </w:r>
          </w:p>
        </w:tc>
        <w:tc>
          <w:tcPr>
            <w:tcW w:w="127"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S</w:t>
            </w:r>
          </w:p>
        </w:tc>
        <w:tc>
          <w:tcPr>
            <w:tcW w:w="148"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3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M</w:t>
            </w:r>
          </w:p>
        </w:tc>
        <w:tc>
          <w:tcPr>
            <w:tcW w:w="134"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A</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I</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L</w:t>
            </w:r>
          </w:p>
        </w:tc>
        <w:tc>
          <w:tcPr>
            <w:tcW w:w="149"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5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T</w:t>
            </w:r>
          </w:p>
        </w:tc>
        <w:tc>
          <w:tcPr>
            <w:tcW w:w="133"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31"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C</w:t>
            </w:r>
          </w:p>
        </w:tc>
        <w:tc>
          <w:tcPr>
            <w:tcW w:w="140"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O</w:t>
            </w:r>
          </w:p>
        </w:tc>
        <w:tc>
          <w:tcPr>
            <w:tcW w:w="124"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M</w:t>
            </w:r>
          </w:p>
        </w:tc>
        <w:tc>
          <w:tcPr>
            <w:tcW w:w="157"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w:t>
            </w:r>
          </w:p>
        </w:tc>
        <w:tc>
          <w:tcPr>
            <w:tcW w:w="126" w:type="pct"/>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S</w:t>
            </w:r>
          </w:p>
        </w:tc>
        <w:tc>
          <w:tcPr>
            <w:tcW w:w="126" w:type="pct"/>
            <w:gridSpan w:val="2"/>
            <w:tcBorders>
              <w:top w:val="single" w:sz="4" w:space="0" w:color="auto"/>
              <w:left w:val="nil"/>
              <w:bottom w:val="single" w:sz="4" w:space="0" w:color="auto"/>
              <w:right w:val="single" w:sz="4" w:space="0" w:color="auto"/>
            </w:tcBorders>
            <w:noWrap/>
          </w:tcPr>
          <w:p w:rsidR="00D72087" w:rsidRPr="00D72087" w:rsidRDefault="00C16B00" w:rsidP="00D72087">
            <w:pPr>
              <w:rPr>
                <w:rFonts w:cs="Arial"/>
                <w:sz w:val="18"/>
                <w:szCs w:val="18"/>
                <w:lang w:eastAsia="sk-SK"/>
              </w:rPr>
            </w:pPr>
            <w:r>
              <w:rPr>
                <w:rFonts w:cs="Arial"/>
                <w:sz w:val="18"/>
                <w:szCs w:val="18"/>
                <w:lang w:eastAsia="sk-SK"/>
              </w:rPr>
              <w:t>K</w:t>
            </w:r>
          </w:p>
        </w:tc>
        <w:tc>
          <w:tcPr>
            <w:tcW w:w="127"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8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9"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3"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18"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2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9" w:type="pct"/>
            <w:gridSpan w:val="3"/>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4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50"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77"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6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4"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6" w:type="pct"/>
            <w:gridSpan w:val="2"/>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1"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135"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c>
          <w:tcPr>
            <w:tcW w:w="99" w:type="pct"/>
            <w:tcBorders>
              <w:top w:val="single" w:sz="4" w:space="0" w:color="auto"/>
              <w:left w:val="nil"/>
              <w:bottom w:val="single" w:sz="4" w:space="0" w:color="auto"/>
              <w:right w:val="single" w:sz="4" w:space="0" w:color="auto"/>
            </w:tcBorders>
            <w:noWrap/>
          </w:tcPr>
          <w:p w:rsidR="00D72087" w:rsidRPr="00D72087" w:rsidRDefault="00AD6758" w:rsidP="00D72087">
            <w:pPr>
              <w:rPr>
                <w:rFonts w:cs="Arial"/>
                <w:sz w:val="18"/>
                <w:szCs w:val="18"/>
                <w:lang w:eastAsia="sk-SK"/>
              </w:rPr>
            </w:pPr>
            <w:r w:rsidRPr="00AD6758">
              <w:rPr>
                <w:rFonts w:cs="Arial"/>
                <w:sz w:val="18"/>
                <w:szCs w:val="18"/>
                <w:lang w:eastAsia="sk-SK"/>
              </w:rPr>
              <w:t> </w:t>
            </w:r>
          </w:p>
        </w:tc>
      </w:tr>
      <w:tr w:rsidR="005B316E" w:rsidRPr="00D72087" w:rsidTr="000A1BBA">
        <w:trPr>
          <w:trHeight w:val="57"/>
          <w:jc w:val="center"/>
        </w:trPr>
        <w:tc>
          <w:tcPr>
            <w:tcW w:w="164" w:type="pct"/>
            <w:tcBorders>
              <w:top w:val="nil"/>
              <w:left w:val="nil"/>
              <w:bottom w:val="nil"/>
              <w:right w:val="nil"/>
            </w:tcBorders>
            <w:noWrap/>
          </w:tcPr>
          <w:p w:rsidR="00D72087" w:rsidRDefault="00D72087" w:rsidP="00D72087">
            <w:pPr>
              <w:rPr>
                <w:rFonts w:cs="Arial"/>
                <w:sz w:val="18"/>
                <w:szCs w:val="18"/>
                <w:lang w:eastAsia="sk-SK"/>
              </w:rPr>
            </w:pPr>
          </w:p>
          <w:p w:rsidR="001A1C39" w:rsidRPr="00D72087" w:rsidRDefault="001A1C39" w:rsidP="00D72087">
            <w:pPr>
              <w:rPr>
                <w:rFonts w:cs="Arial"/>
                <w:sz w:val="18"/>
                <w:szCs w:val="18"/>
                <w:lang w:eastAsia="sk-SK"/>
              </w:rPr>
            </w:pPr>
          </w:p>
        </w:tc>
        <w:tc>
          <w:tcPr>
            <w:tcW w:w="152"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4"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8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49"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53"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18"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2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9" w:type="pct"/>
            <w:gridSpan w:val="3"/>
            <w:tcBorders>
              <w:top w:val="nil"/>
              <w:left w:val="nil"/>
              <w:bottom w:val="nil"/>
              <w:right w:val="nil"/>
            </w:tcBorders>
            <w:noWrap/>
          </w:tcPr>
          <w:p w:rsidR="00D72087" w:rsidRPr="00D72087" w:rsidRDefault="00D72087" w:rsidP="00D72087">
            <w:pPr>
              <w:rPr>
                <w:rFonts w:cs="Arial"/>
                <w:sz w:val="18"/>
                <w:szCs w:val="18"/>
                <w:lang w:eastAsia="sk-SK"/>
              </w:rPr>
            </w:pPr>
          </w:p>
        </w:tc>
        <w:tc>
          <w:tcPr>
            <w:tcW w:w="14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50"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77"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6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4"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136" w:type="pct"/>
            <w:gridSpan w:val="2"/>
            <w:tcBorders>
              <w:top w:val="nil"/>
              <w:left w:val="nil"/>
              <w:bottom w:val="nil"/>
              <w:right w:val="nil"/>
            </w:tcBorders>
            <w:noWrap/>
          </w:tcPr>
          <w:p w:rsidR="00D72087" w:rsidRPr="00D72087" w:rsidRDefault="00D72087" w:rsidP="00D72087">
            <w:pPr>
              <w:rPr>
                <w:rFonts w:cs="Arial"/>
                <w:sz w:val="18"/>
                <w:szCs w:val="18"/>
                <w:lang w:eastAsia="sk-SK"/>
              </w:rPr>
            </w:pPr>
          </w:p>
        </w:tc>
        <w:tc>
          <w:tcPr>
            <w:tcW w:w="91"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135" w:type="pct"/>
            <w:tcBorders>
              <w:top w:val="nil"/>
              <w:left w:val="nil"/>
              <w:bottom w:val="nil"/>
              <w:right w:val="nil"/>
            </w:tcBorders>
            <w:noWrap/>
          </w:tcPr>
          <w:p w:rsidR="00D72087" w:rsidRPr="00D72087" w:rsidRDefault="00D72087" w:rsidP="00D72087">
            <w:pPr>
              <w:rPr>
                <w:rFonts w:cs="Arial"/>
                <w:sz w:val="18"/>
                <w:szCs w:val="18"/>
                <w:lang w:eastAsia="sk-SK"/>
              </w:rPr>
            </w:pPr>
          </w:p>
        </w:tc>
        <w:tc>
          <w:tcPr>
            <w:tcW w:w="99" w:type="pct"/>
            <w:tcBorders>
              <w:top w:val="nil"/>
              <w:left w:val="nil"/>
              <w:bottom w:val="nil"/>
              <w:right w:val="nil"/>
            </w:tcBorders>
            <w:noWrap/>
          </w:tcPr>
          <w:p w:rsidR="00D72087" w:rsidRPr="00D72087" w:rsidRDefault="00D72087" w:rsidP="00D72087">
            <w:pPr>
              <w:rPr>
                <w:rFonts w:cs="Arial"/>
                <w:sz w:val="18"/>
                <w:szCs w:val="18"/>
                <w:lang w:eastAsia="sk-SK"/>
              </w:rPr>
            </w:pPr>
          </w:p>
        </w:tc>
      </w:tr>
      <w:tr w:rsidR="00D72087" w:rsidRPr="00D72087" w:rsidTr="000A1BBA">
        <w:trPr>
          <w:trHeight w:val="850"/>
          <w:jc w:val="center"/>
        </w:trPr>
        <w:tc>
          <w:tcPr>
            <w:tcW w:w="1297" w:type="pct"/>
            <w:gridSpan w:val="9"/>
            <w:tcBorders>
              <w:top w:val="single" w:sz="4" w:space="0" w:color="auto"/>
              <w:left w:val="single" w:sz="4" w:space="0" w:color="auto"/>
              <w:bottom w:val="single" w:sz="4" w:space="0" w:color="auto"/>
              <w:right w:val="single" w:sz="4" w:space="0" w:color="000000"/>
            </w:tcBorders>
            <w:noWrap/>
          </w:tcPr>
          <w:p w:rsidR="00D72087" w:rsidRDefault="00AD6758" w:rsidP="00D72087">
            <w:pPr>
              <w:rPr>
                <w:rFonts w:cs="Arial"/>
                <w:sz w:val="18"/>
                <w:szCs w:val="18"/>
                <w:lang w:eastAsia="sk-SK"/>
              </w:rPr>
            </w:pPr>
            <w:r w:rsidRPr="00AD6758">
              <w:rPr>
                <w:rFonts w:cs="Arial"/>
                <w:sz w:val="18"/>
                <w:szCs w:val="18"/>
                <w:lang w:eastAsia="sk-SK"/>
              </w:rPr>
              <w:t xml:space="preserve"> Zostavené dňa:</w:t>
            </w:r>
            <w:r w:rsidR="00D72087">
              <w:rPr>
                <w:rFonts w:cs="Arial"/>
                <w:sz w:val="18"/>
                <w:szCs w:val="18"/>
                <w:lang w:eastAsia="sk-SK"/>
              </w:rPr>
              <w:t xml:space="preserve"> </w:t>
            </w:r>
          </w:p>
          <w:p w:rsidR="00D72087" w:rsidRDefault="00D72087" w:rsidP="00D72087">
            <w:pPr>
              <w:rPr>
                <w:rFonts w:cs="Arial"/>
                <w:sz w:val="18"/>
                <w:szCs w:val="18"/>
                <w:lang w:eastAsia="sk-SK"/>
              </w:rPr>
            </w:pPr>
          </w:p>
          <w:p w:rsidR="00E34DCA" w:rsidRDefault="00D72087" w:rsidP="004C4FDC">
            <w:pPr>
              <w:jc w:val="center"/>
              <w:rPr>
                <w:rFonts w:cs="Arial"/>
                <w:sz w:val="18"/>
                <w:szCs w:val="18"/>
                <w:lang w:val="en-US" w:eastAsia="sk-SK"/>
              </w:rPr>
            </w:pPr>
            <w:r>
              <w:rPr>
                <w:rFonts w:cs="Arial"/>
                <w:sz w:val="18"/>
                <w:szCs w:val="18"/>
                <w:lang w:val="en-US" w:eastAsia="sk-SK"/>
              </w:rPr>
              <w:t>1</w:t>
            </w:r>
            <w:r w:rsidR="004C4FDC">
              <w:rPr>
                <w:rFonts w:cs="Arial"/>
                <w:sz w:val="18"/>
                <w:szCs w:val="18"/>
                <w:lang w:val="en-US" w:eastAsia="sk-SK"/>
              </w:rPr>
              <w:t>9</w:t>
            </w:r>
            <w:r>
              <w:rPr>
                <w:rFonts w:cs="Arial"/>
                <w:sz w:val="18"/>
                <w:szCs w:val="18"/>
                <w:lang w:val="en-US" w:eastAsia="sk-SK"/>
              </w:rPr>
              <w:t>.2.201</w:t>
            </w:r>
            <w:r w:rsidR="004C4FDC">
              <w:rPr>
                <w:rFonts w:cs="Arial"/>
                <w:sz w:val="18"/>
                <w:szCs w:val="18"/>
                <w:lang w:val="en-US" w:eastAsia="sk-SK"/>
              </w:rPr>
              <w:t>3</w:t>
            </w:r>
          </w:p>
          <w:p w:rsidR="004C4FDC" w:rsidRDefault="004C4FDC" w:rsidP="004C4FDC">
            <w:pPr>
              <w:jc w:val="center"/>
              <w:rPr>
                <w:rFonts w:cs="Arial"/>
                <w:sz w:val="18"/>
                <w:szCs w:val="18"/>
                <w:lang w:val="en-US" w:eastAsia="sk-SK"/>
              </w:rPr>
            </w:pPr>
          </w:p>
        </w:tc>
        <w:tc>
          <w:tcPr>
            <w:tcW w:w="1221" w:type="pct"/>
            <w:gridSpan w:val="9"/>
            <w:vMerge w:val="restart"/>
            <w:tcBorders>
              <w:top w:val="single" w:sz="4" w:space="0" w:color="auto"/>
              <w:left w:val="single" w:sz="4" w:space="0" w:color="auto"/>
              <w:right w:val="single" w:sz="4" w:space="0" w:color="000000"/>
            </w:tcBorders>
          </w:tcPr>
          <w:p w:rsidR="00D72087" w:rsidRPr="00D72087" w:rsidRDefault="00AD6758" w:rsidP="00D72087">
            <w:pPr>
              <w:rPr>
                <w:rFonts w:cs="Arial"/>
                <w:sz w:val="18"/>
                <w:szCs w:val="18"/>
                <w:lang w:eastAsia="sk-SK"/>
              </w:rPr>
            </w:pPr>
            <w:r w:rsidRPr="00AD6758">
              <w:rPr>
                <w:rFonts w:cs="Arial"/>
                <w:sz w:val="18"/>
                <w:szCs w:val="18"/>
                <w:lang w:eastAsia="sk-SK"/>
              </w:rPr>
              <w:t>Podpisový záznam osoby zodpovednej za vedenie účtovníctva:</w:t>
            </w:r>
          </w:p>
        </w:tc>
        <w:tc>
          <w:tcPr>
            <w:tcW w:w="1230" w:type="pct"/>
            <w:gridSpan w:val="13"/>
            <w:vMerge w:val="restart"/>
            <w:tcBorders>
              <w:top w:val="single" w:sz="4" w:space="0" w:color="auto"/>
              <w:left w:val="single" w:sz="4" w:space="0" w:color="auto"/>
              <w:right w:val="single" w:sz="4" w:space="0" w:color="000000"/>
            </w:tcBorders>
          </w:tcPr>
          <w:p w:rsidR="00D72087" w:rsidRPr="00D72087" w:rsidRDefault="00AD6758" w:rsidP="00D72087">
            <w:pPr>
              <w:rPr>
                <w:rFonts w:cs="Arial"/>
                <w:sz w:val="18"/>
                <w:szCs w:val="18"/>
                <w:lang w:eastAsia="sk-SK"/>
              </w:rPr>
            </w:pPr>
            <w:r w:rsidRPr="00AD6758">
              <w:rPr>
                <w:rFonts w:cs="Arial"/>
                <w:sz w:val="18"/>
                <w:szCs w:val="18"/>
                <w:lang w:eastAsia="sk-SK"/>
              </w:rPr>
              <w:t>Podpisový záznam osoby zodpovednej za zostavenie účtovnej závierky:</w:t>
            </w:r>
          </w:p>
        </w:tc>
        <w:tc>
          <w:tcPr>
            <w:tcW w:w="1252" w:type="pct"/>
            <w:gridSpan w:val="15"/>
            <w:vMerge w:val="restart"/>
            <w:tcBorders>
              <w:top w:val="single" w:sz="4" w:space="0" w:color="auto"/>
              <w:left w:val="single" w:sz="4" w:space="0" w:color="auto"/>
              <w:right w:val="single" w:sz="4" w:space="0" w:color="000000"/>
            </w:tcBorders>
          </w:tcPr>
          <w:p w:rsidR="00D72087" w:rsidRPr="00D72087" w:rsidRDefault="00AD6758" w:rsidP="00D72087">
            <w:pPr>
              <w:rPr>
                <w:rFonts w:cs="Arial"/>
                <w:sz w:val="18"/>
                <w:szCs w:val="18"/>
                <w:lang w:eastAsia="sk-SK"/>
              </w:rPr>
            </w:pPr>
            <w:r w:rsidRPr="00AD6758">
              <w:rPr>
                <w:rFonts w:cs="Arial"/>
                <w:sz w:val="18"/>
                <w:szCs w:val="18"/>
                <w:lang w:eastAsia="sk-SK"/>
              </w:rPr>
              <w:t>Podpisový záznam  člena štatutárneho orgánu účtovnej jednotky alebo fyzickej osoby, ktorá je účtovnou jednotkou:</w:t>
            </w:r>
          </w:p>
        </w:tc>
      </w:tr>
      <w:tr w:rsidR="00D72087" w:rsidRPr="00D72087" w:rsidTr="000A1BBA">
        <w:trPr>
          <w:trHeight w:val="848"/>
          <w:jc w:val="center"/>
        </w:trPr>
        <w:tc>
          <w:tcPr>
            <w:tcW w:w="1297" w:type="pct"/>
            <w:gridSpan w:val="9"/>
            <w:tcBorders>
              <w:top w:val="single" w:sz="4" w:space="0" w:color="auto"/>
              <w:left w:val="single" w:sz="4" w:space="0" w:color="auto"/>
              <w:bottom w:val="single" w:sz="4" w:space="0" w:color="auto"/>
              <w:right w:val="single" w:sz="4" w:space="0" w:color="000000"/>
            </w:tcBorders>
            <w:noWrap/>
          </w:tcPr>
          <w:p w:rsidR="00D72087" w:rsidRDefault="00AD6758" w:rsidP="00D72087">
            <w:pPr>
              <w:rPr>
                <w:rFonts w:cs="Arial"/>
                <w:sz w:val="18"/>
                <w:szCs w:val="18"/>
                <w:lang w:eastAsia="sk-SK"/>
              </w:rPr>
            </w:pPr>
            <w:r w:rsidRPr="00AD6758">
              <w:rPr>
                <w:rFonts w:cs="Arial"/>
                <w:sz w:val="18"/>
                <w:szCs w:val="18"/>
                <w:lang w:eastAsia="sk-SK"/>
              </w:rPr>
              <w:t xml:space="preserve"> Schválené dňa:</w:t>
            </w:r>
          </w:p>
          <w:p w:rsidR="00D72087" w:rsidRDefault="00D72087" w:rsidP="00D72087">
            <w:pPr>
              <w:rPr>
                <w:rFonts w:cs="Arial"/>
                <w:sz w:val="18"/>
                <w:szCs w:val="18"/>
                <w:lang w:eastAsia="sk-SK"/>
              </w:rPr>
            </w:pPr>
          </w:p>
          <w:p w:rsidR="00E34DCA" w:rsidRDefault="00E34DCA">
            <w:pPr>
              <w:jc w:val="center"/>
              <w:rPr>
                <w:rFonts w:cs="Arial"/>
                <w:sz w:val="18"/>
                <w:szCs w:val="18"/>
                <w:lang w:eastAsia="sk-SK"/>
              </w:rPr>
            </w:pPr>
          </w:p>
        </w:tc>
        <w:tc>
          <w:tcPr>
            <w:tcW w:w="1221" w:type="pct"/>
            <w:gridSpan w:val="9"/>
            <w:vMerge/>
            <w:tcBorders>
              <w:left w:val="single" w:sz="4" w:space="0" w:color="auto"/>
              <w:bottom w:val="single" w:sz="4" w:space="0" w:color="000000"/>
              <w:right w:val="single" w:sz="4" w:space="0" w:color="000000"/>
            </w:tcBorders>
          </w:tcPr>
          <w:p w:rsidR="00D72087" w:rsidRPr="00D72087" w:rsidRDefault="00D72087" w:rsidP="00D72087">
            <w:pPr>
              <w:rPr>
                <w:rFonts w:cs="Arial"/>
                <w:sz w:val="18"/>
                <w:szCs w:val="18"/>
                <w:lang w:eastAsia="sk-SK"/>
              </w:rPr>
            </w:pPr>
          </w:p>
        </w:tc>
        <w:tc>
          <w:tcPr>
            <w:tcW w:w="1230" w:type="pct"/>
            <w:gridSpan w:val="13"/>
            <w:vMerge/>
            <w:tcBorders>
              <w:left w:val="single" w:sz="4" w:space="0" w:color="auto"/>
              <w:bottom w:val="single" w:sz="4" w:space="0" w:color="000000"/>
              <w:right w:val="single" w:sz="4" w:space="0" w:color="000000"/>
            </w:tcBorders>
          </w:tcPr>
          <w:p w:rsidR="00D72087" w:rsidRPr="00D72087" w:rsidRDefault="00D72087" w:rsidP="00D72087">
            <w:pPr>
              <w:rPr>
                <w:rFonts w:cs="Arial"/>
                <w:sz w:val="18"/>
                <w:szCs w:val="18"/>
                <w:lang w:eastAsia="sk-SK"/>
              </w:rPr>
            </w:pPr>
          </w:p>
        </w:tc>
        <w:tc>
          <w:tcPr>
            <w:tcW w:w="1252" w:type="pct"/>
            <w:gridSpan w:val="15"/>
            <w:vMerge/>
            <w:tcBorders>
              <w:left w:val="single" w:sz="4" w:space="0" w:color="auto"/>
              <w:bottom w:val="single" w:sz="4" w:space="0" w:color="000000"/>
              <w:right w:val="single" w:sz="4" w:space="0" w:color="000000"/>
            </w:tcBorders>
          </w:tcPr>
          <w:p w:rsidR="00D72087" w:rsidRPr="00D72087" w:rsidRDefault="00D72087" w:rsidP="00D72087">
            <w:pPr>
              <w:rPr>
                <w:rFonts w:cs="Arial"/>
                <w:sz w:val="18"/>
                <w:szCs w:val="18"/>
                <w:lang w:eastAsia="sk-SK"/>
              </w:rPr>
            </w:pPr>
          </w:p>
        </w:tc>
      </w:tr>
    </w:tbl>
    <w:p w:rsidR="004D3B4A" w:rsidRDefault="004D3B4A" w:rsidP="004D3B4A">
      <w:pPr>
        <w:pStyle w:val="Nadpis1"/>
        <w:tabs>
          <w:tab w:val="clear" w:pos="450"/>
          <w:tab w:val="num" w:pos="360"/>
        </w:tabs>
        <w:spacing w:before="120" w:after="60"/>
        <w:ind w:left="360"/>
      </w:pPr>
      <w:bookmarkStart w:id="0" w:name="_Toc530739894"/>
      <w:r>
        <w:lastRenderedPageBreak/>
        <w:t>Informácie o účtovnej jednotke</w:t>
      </w:r>
      <w:bookmarkEnd w:id="0"/>
    </w:p>
    <w:p w:rsidR="004D3B4A" w:rsidRDefault="004D3B4A" w:rsidP="004D3B4A">
      <w:pPr>
        <w:pStyle w:val="Zkladntext"/>
      </w:pPr>
    </w:p>
    <w:p w:rsidR="004D3B4A" w:rsidRDefault="00D72087" w:rsidP="004D3B4A">
      <w:pPr>
        <w:pStyle w:val="Nadpis2"/>
        <w:numPr>
          <w:ilvl w:val="0"/>
          <w:numId w:val="2"/>
        </w:numPr>
      </w:pPr>
      <w:r>
        <w:t>Založenie spoločnosti</w:t>
      </w:r>
    </w:p>
    <w:p w:rsidR="004D3B4A" w:rsidRDefault="004D3B4A" w:rsidP="004D3B4A">
      <w:pPr>
        <w:pStyle w:val="Zkladntext"/>
      </w:pPr>
      <w:r>
        <w:t xml:space="preserve">Spoločnosť </w:t>
      </w:r>
      <w:r w:rsidR="00C16B00" w:rsidRPr="00C16B00">
        <w:rPr>
          <w:b/>
        </w:rPr>
        <w:t>PRO POPULO</w:t>
      </w:r>
      <w:r w:rsidR="00C16B00">
        <w:t xml:space="preserve"> </w:t>
      </w:r>
      <w:r w:rsidR="00C16B00">
        <w:rPr>
          <w:b/>
        </w:rPr>
        <w:t>PP a.s.</w:t>
      </w:r>
      <w:r>
        <w:t xml:space="preserve"> (ďalej len Spoločnosť), bola založená </w:t>
      </w:r>
      <w:r w:rsidR="009F50D0">
        <w:t>08</w:t>
      </w:r>
      <w:r>
        <w:t xml:space="preserve">. </w:t>
      </w:r>
      <w:r w:rsidR="009F50D0">
        <w:t>októbra</w:t>
      </w:r>
      <w:r>
        <w:t xml:space="preserve"> 199</w:t>
      </w:r>
      <w:r w:rsidR="009F50D0">
        <w:t>1</w:t>
      </w:r>
      <w:r>
        <w:t xml:space="preserve"> a</w:t>
      </w:r>
      <w:r w:rsidR="009F50D0">
        <w:t xml:space="preserve"> v súčasnej podobe bola zapísaná po transformácii </w:t>
      </w:r>
      <w:r>
        <w:t xml:space="preserve">do obchodného registra </w:t>
      </w:r>
      <w:r w:rsidR="009F50D0">
        <w:t>dňa 8.</w:t>
      </w:r>
      <w:r>
        <w:t>. j</w:t>
      </w:r>
      <w:r w:rsidR="009F50D0">
        <w:t>anuára</w:t>
      </w:r>
      <w:r>
        <w:t xml:space="preserve"> </w:t>
      </w:r>
      <w:r w:rsidR="009F50D0">
        <w:t>2000.</w:t>
      </w:r>
      <w:r>
        <w:t xml:space="preserve"> (Obchodný register Okresného súdu </w:t>
      </w:r>
      <w:r w:rsidR="009F50D0">
        <w:t>Prešov</w:t>
      </w:r>
      <w:r>
        <w:t xml:space="preserve">, oddiel </w:t>
      </w:r>
      <w:r w:rsidR="009F50D0">
        <w:t>Sa</w:t>
      </w:r>
      <w:r>
        <w:t xml:space="preserve">., vložka </w:t>
      </w:r>
      <w:r w:rsidR="009F50D0">
        <w:t>30/P</w:t>
      </w:r>
      <w:r>
        <w:t xml:space="preserve">. </w:t>
      </w:r>
    </w:p>
    <w:p w:rsidR="004D3B4A" w:rsidRDefault="004D3B4A" w:rsidP="004D3B4A"/>
    <w:p w:rsidR="004D3B4A" w:rsidRDefault="004D3B4A" w:rsidP="004D3B4A">
      <w:pPr>
        <w:pStyle w:val="Nadpis2"/>
        <w:numPr>
          <w:ilvl w:val="0"/>
          <w:numId w:val="2"/>
        </w:numPr>
      </w:pPr>
      <w:bookmarkStart w:id="1" w:name="_Toc530739896"/>
      <w:r>
        <w:t>Hlavnými činnosťami Spoločnosti sú:</w:t>
      </w:r>
      <w:bookmarkEnd w:id="1"/>
    </w:p>
    <w:p w:rsidR="004D3B4A" w:rsidRDefault="004D3B4A" w:rsidP="004D3B4A">
      <w:pPr>
        <w:pStyle w:val="Zkladntext"/>
      </w:pPr>
      <w:r>
        <w:t xml:space="preserve">– </w:t>
      </w:r>
      <w:proofErr w:type="spellStart"/>
      <w:r w:rsidR="009F50D0">
        <w:t>píliarska</w:t>
      </w:r>
      <w:proofErr w:type="spellEnd"/>
      <w:r w:rsidR="009F50D0">
        <w:t xml:space="preserve"> výroba a </w:t>
      </w:r>
      <w:proofErr w:type="spellStart"/>
      <w:r w:rsidR="009F50D0">
        <w:t>porez</w:t>
      </w:r>
      <w:proofErr w:type="spellEnd"/>
      <w:r w:rsidR="009F50D0">
        <w:t xml:space="preserve"> drevnej hmoty</w:t>
      </w:r>
      <w:r>
        <w:t>,</w:t>
      </w:r>
    </w:p>
    <w:p w:rsidR="004D3B4A" w:rsidRDefault="004D3B4A" w:rsidP="004D3B4A">
      <w:pPr>
        <w:pStyle w:val="Zkladntext"/>
      </w:pPr>
      <w:r>
        <w:t xml:space="preserve">– </w:t>
      </w:r>
      <w:r w:rsidR="009F50D0">
        <w:t>ubytovacie služby v ubytovacích zariadeniach s prevádzkou pohostinných činností v týchto zariadeniach</w:t>
      </w:r>
      <w:r>
        <w:t>,</w:t>
      </w:r>
    </w:p>
    <w:p w:rsidR="009F50D0" w:rsidRDefault="004D3B4A" w:rsidP="004D3B4A">
      <w:pPr>
        <w:pStyle w:val="Zkladntext"/>
      </w:pPr>
      <w:r>
        <w:t xml:space="preserve">– </w:t>
      </w:r>
      <w:r w:rsidR="009F50D0">
        <w:t>veľkoobchodná a maloobchodná činnosť v rozsahu voľných živností</w:t>
      </w:r>
    </w:p>
    <w:p w:rsidR="004D3B4A" w:rsidRDefault="009F50D0" w:rsidP="004D3B4A">
      <w:pPr>
        <w:pStyle w:val="Zkladntext"/>
      </w:pPr>
      <w:r>
        <w:t>-  prenájom hnuteľných a nehnuteľných vecí</w:t>
      </w:r>
      <w:r w:rsidR="004D3B4A">
        <w:t>.</w:t>
      </w:r>
    </w:p>
    <w:p w:rsidR="004D3B4A" w:rsidRDefault="004D3B4A" w:rsidP="004D3B4A">
      <w:pPr>
        <w:pStyle w:val="Zkladntext"/>
      </w:pPr>
    </w:p>
    <w:p w:rsidR="004D3B4A" w:rsidRDefault="005F5D4F" w:rsidP="004D3B4A">
      <w:pPr>
        <w:pStyle w:val="Nadpis2"/>
        <w:numPr>
          <w:ilvl w:val="0"/>
          <w:numId w:val="2"/>
        </w:numPr>
      </w:pPr>
      <w:r>
        <w:t>P</w:t>
      </w:r>
      <w:r w:rsidR="004D3B4A">
        <w:t xml:space="preserve">očet zamestnancov </w:t>
      </w:r>
    </w:p>
    <w:p w:rsidR="005F5D4F" w:rsidRDefault="005F5D4F" w:rsidP="004D3B4A">
      <w:pPr>
        <w:pStyle w:val="Zkladntext"/>
      </w:pPr>
      <w:r>
        <w:t>Údaje o počte zamestnancov za bežné účtovné obdobie a bezprostredne predchádzajúce účtovné obdobie sú uvedené v nasledujúcom prehľade:</w:t>
      </w:r>
    </w:p>
    <w:p w:rsidR="005F5D4F" w:rsidRDefault="005F5D4F" w:rsidP="004D3B4A">
      <w:pPr>
        <w:pStyle w:val="Zkladntext"/>
      </w:pPr>
    </w:p>
    <w:bookmarkStart w:id="2" w:name="_MON_1423980584"/>
    <w:bookmarkEnd w:id="2"/>
    <w:p w:rsidR="000A1BBA" w:rsidRDefault="00901CF7" w:rsidP="004D3B4A">
      <w:pPr>
        <w:pStyle w:val="Zkladntext"/>
      </w:pPr>
      <w:r>
        <w:object w:dxaOrig="8089" w:dyaOrig="1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5pt;height:86.95pt" o:ole="" o:preferrelative="f">
            <v:imagedata r:id="rId14" o:title=""/>
            <o:lock v:ext="edit" aspectratio="f"/>
          </v:shape>
          <o:OLEObject Type="Embed" ProgID="Excel.Sheet.12" ShapeID="_x0000_i1025" DrawAspect="Content" ObjectID="_1427001789" r:id="rId15"/>
        </w:object>
      </w:r>
    </w:p>
    <w:p w:rsidR="004D3B4A" w:rsidRDefault="004D3B4A" w:rsidP="004D3B4A">
      <w:pPr>
        <w:pStyle w:val="Zkladntext"/>
      </w:pPr>
    </w:p>
    <w:p w:rsidR="004D3B4A" w:rsidRDefault="004D3B4A" w:rsidP="004D3B4A">
      <w:pPr>
        <w:pStyle w:val="Nadpis2"/>
        <w:numPr>
          <w:ilvl w:val="0"/>
          <w:numId w:val="2"/>
        </w:numPr>
      </w:pPr>
      <w:r>
        <w:t>Údaje o neobmedzenom ručení</w:t>
      </w:r>
    </w:p>
    <w:p w:rsidR="004D3B4A" w:rsidRDefault="004D3B4A" w:rsidP="004D3B4A">
      <w:pPr>
        <w:ind w:left="450"/>
        <w:jc w:val="both"/>
        <w:rPr>
          <w:sz w:val="18"/>
          <w:szCs w:val="18"/>
        </w:rPr>
      </w:pPr>
      <w:r w:rsidRPr="00D87FBD">
        <w:rPr>
          <w:sz w:val="18"/>
          <w:szCs w:val="18"/>
        </w:rPr>
        <w:t>Spoločnosť nie je neobmedzene ručiacim spoločníkom v</w:t>
      </w:r>
      <w:r w:rsidRPr="00C35B60">
        <w:rPr>
          <w:sz w:val="18"/>
          <w:szCs w:val="18"/>
        </w:rPr>
        <w:t> </w:t>
      </w:r>
      <w:r w:rsidRPr="00D87FBD">
        <w:rPr>
          <w:sz w:val="18"/>
          <w:szCs w:val="18"/>
        </w:rPr>
        <w:t xml:space="preserve">iných </w:t>
      </w:r>
      <w:r>
        <w:rPr>
          <w:sz w:val="18"/>
          <w:szCs w:val="18"/>
        </w:rPr>
        <w:t xml:space="preserve">spoločnostiach podľa </w:t>
      </w:r>
      <w:r w:rsidRPr="00467471">
        <w:rPr>
          <w:sz w:val="18"/>
          <w:szCs w:val="18"/>
        </w:rPr>
        <w:t>§ 56 ods. 5 Obchodného zákonníka</w:t>
      </w:r>
      <w:r w:rsidRPr="00D87FBD">
        <w:rPr>
          <w:sz w:val="18"/>
          <w:szCs w:val="18"/>
        </w:rPr>
        <w:t>.</w:t>
      </w:r>
    </w:p>
    <w:p w:rsidR="004D3B4A" w:rsidRDefault="004D3B4A" w:rsidP="004D3B4A">
      <w:pPr>
        <w:pStyle w:val="Zkladntext"/>
      </w:pPr>
    </w:p>
    <w:p w:rsidR="004D3B4A" w:rsidRDefault="004D3B4A" w:rsidP="004D3B4A">
      <w:pPr>
        <w:pStyle w:val="Nadpis2"/>
        <w:numPr>
          <w:ilvl w:val="0"/>
          <w:numId w:val="2"/>
        </w:numPr>
      </w:pPr>
      <w:r>
        <w:t>Právny dôvod na zostavenie účtovnej závierky</w:t>
      </w:r>
    </w:p>
    <w:p w:rsidR="004D3B4A" w:rsidRDefault="004D3B4A" w:rsidP="004D3B4A">
      <w:pPr>
        <w:pStyle w:val="Zkladntext"/>
        <w:ind w:hanging="426"/>
      </w:pPr>
      <w:r>
        <w:tab/>
        <w:t>Účtovná závierka Spoločnosti k 31. decembru 201</w:t>
      </w:r>
      <w:r w:rsidR="00014193">
        <w:t>2</w:t>
      </w:r>
      <w:r>
        <w:t xml:space="preserve"> je zostavená ako riadna účtovná závierka podľa § 17 ods. 6 zákona </w:t>
      </w:r>
      <w:r w:rsidRPr="009C33CC">
        <w:t>NR</w:t>
      </w:r>
      <w:r>
        <w:t> </w:t>
      </w:r>
      <w:r w:rsidRPr="009C33CC">
        <w:t>SR</w:t>
      </w:r>
      <w:r>
        <w:t xml:space="preserve"> č. 431/2002 Z. z. o účtovníctve za účtovné obdobie od 1. januára 201</w:t>
      </w:r>
      <w:r w:rsidR="00014193">
        <w:t>2</w:t>
      </w:r>
      <w:r>
        <w:t xml:space="preserve"> do 31. decembra 201</w:t>
      </w:r>
      <w:r w:rsidR="004C4FDC">
        <w:t>2</w:t>
      </w:r>
      <w:r>
        <w:t>.</w:t>
      </w:r>
    </w:p>
    <w:p w:rsidR="004D3B4A" w:rsidRDefault="004D3B4A" w:rsidP="004D3B4A">
      <w:pPr>
        <w:pStyle w:val="Zkladntext"/>
        <w:ind w:hanging="426"/>
      </w:pPr>
    </w:p>
    <w:p w:rsidR="004D3B4A" w:rsidRDefault="004D3B4A" w:rsidP="004D3B4A">
      <w:pPr>
        <w:pStyle w:val="Nadpis2"/>
        <w:numPr>
          <w:ilvl w:val="0"/>
          <w:numId w:val="2"/>
        </w:numPr>
      </w:pPr>
      <w:r>
        <w:t>Dátum schválenia účtovnej závierky za predchádzajúce účtovné obdobie</w:t>
      </w:r>
    </w:p>
    <w:p w:rsidR="004D3B4A" w:rsidRDefault="004D3B4A" w:rsidP="004D3B4A">
      <w:pPr>
        <w:pStyle w:val="Zkladntext"/>
        <w:ind w:hanging="426"/>
      </w:pPr>
      <w:r>
        <w:tab/>
        <w:t>Účtovná závierka Spoločnosti k 31. decembru 201</w:t>
      </w:r>
      <w:r w:rsidR="004C4FDC">
        <w:t>1</w:t>
      </w:r>
      <w:r>
        <w:t xml:space="preserve">, za predchádzajúce účtovné obdobie, bola schválená valným zhromaždením </w:t>
      </w:r>
      <w:r w:rsidR="00014193">
        <w:t xml:space="preserve">akcionárov </w:t>
      </w:r>
      <w:r>
        <w:t xml:space="preserve">Spoločnosti </w:t>
      </w:r>
      <w:r w:rsidR="00014193">
        <w:t xml:space="preserve"> konaného dňa </w:t>
      </w:r>
      <w:r w:rsidR="00641A25">
        <w:t>2</w:t>
      </w:r>
      <w:r w:rsidR="004C4FDC">
        <w:t>5</w:t>
      </w:r>
      <w:r>
        <w:t xml:space="preserve">. </w:t>
      </w:r>
      <w:r w:rsidR="004C4FDC">
        <w:t>mája</w:t>
      </w:r>
      <w:r>
        <w:t xml:space="preserve"> 201</w:t>
      </w:r>
      <w:r w:rsidR="004C4FDC">
        <w:t>2</w:t>
      </w:r>
      <w:r>
        <w:t>.</w:t>
      </w:r>
    </w:p>
    <w:p w:rsidR="004D3B4A" w:rsidRDefault="004D3B4A" w:rsidP="004D3B4A">
      <w:pPr>
        <w:pStyle w:val="Zkladntext"/>
        <w:ind w:hanging="426"/>
      </w:pPr>
    </w:p>
    <w:p w:rsidR="004D3B4A" w:rsidRDefault="004D3B4A" w:rsidP="004D3B4A">
      <w:pPr>
        <w:pStyle w:val="Nadpis2"/>
        <w:numPr>
          <w:ilvl w:val="0"/>
          <w:numId w:val="2"/>
        </w:numPr>
      </w:pPr>
      <w:bookmarkStart w:id="3" w:name="OLE_LINK13"/>
      <w:bookmarkStart w:id="4" w:name="OLE_LINK14"/>
      <w:r>
        <w:t>Zverejnenie účtovnej závierky za predchádzajúce účtovné obdobie</w:t>
      </w:r>
    </w:p>
    <w:p w:rsidR="004D3B4A" w:rsidRDefault="004D3B4A" w:rsidP="004D3B4A">
      <w:pPr>
        <w:pStyle w:val="Zkladntext"/>
      </w:pPr>
      <w:r w:rsidRPr="00194BFD">
        <w:t xml:space="preserve">Účtovná závierka Spoločnosti k 31. decembru </w:t>
      </w:r>
      <w:r>
        <w:t>201</w:t>
      </w:r>
      <w:r w:rsidR="004C4FDC">
        <w:t>1</w:t>
      </w:r>
      <w:r w:rsidRPr="00194BFD">
        <w:t xml:space="preserve"> spolu s výročnou správou a správou audítora o overení účtovnej závierky k 31. decembru </w:t>
      </w:r>
      <w:r>
        <w:t>201</w:t>
      </w:r>
      <w:r w:rsidR="004C4FDC">
        <w:t>1</w:t>
      </w:r>
      <w:r w:rsidRPr="00194BFD">
        <w:t xml:space="preserve"> bola uložená do zbierky listín obchodného registra </w:t>
      </w:r>
      <w:r w:rsidR="00014193">
        <w:t xml:space="preserve">OS </w:t>
      </w:r>
      <w:r w:rsidR="00641A25">
        <w:t>v Prešove v</w:t>
      </w:r>
      <w:r w:rsidRPr="00194BFD">
        <w:t xml:space="preserve"> </w:t>
      </w:r>
      <w:r w:rsidR="00641A25">
        <w:t>júni</w:t>
      </w:r>
      <w:r w:rsidRPr="00194BFD">
        <w:t xml:space="preserve"> </w:t>
      </w:r>
      <w:r>
        <w:t>201</w:t>
      </w:r>
      <w:r w:rsidR="004C4FDC">
        <w:t>2</w:t>
      </w:r>
      <w:r w:rsidRPr="00194BFD">
        <w:t xml:space="preserve">. Súvaha a výkaz ziskov a strát za predchádzajúce účtovné obdobie boli zverejnené  </w:t>
      </w:r>
      <w:r w:rsidR="00641A25">
        <w:t>v zákonom predpísanej forme v máji</w:t>
      </w:r>
      <w:r w:rsidRPr="00194BFD">
        <w:t xml:space="preserve"> </w:t>
      </w:r>
      <w:r>
        <w:t>201</w:t>
      </w:r>
      <w:r w:rsidR="004C4FDC">
        <w:t xml:space="preserve">2 a súčasne sú k dispozícii  </w:t>
      </w:r>
      <w:r w:rsidR="00014193">
        <w:t xml:space="preserve">na </w:t>
      </w:r>
      <w:r w:rsidR="004C4FDC">
        <w:t>web stránke spoločnosti</w:t>
      </w:r>
      <w:r w:rsidR="00014193">
        <w:t xml:space="preserve"> </w:t>
      </w:r>
      <w:r w:rsidR="004C4FDC">
        <w:t xml:space="preserve"> </w:t>
      </w:r>
      <w:proofErr w:type="spellStart"/>
      <w:r w:rsidR="004C4FDC">
        <w:t>ww</w:t>
      </w:r>
      <w:r w:rsidR="00014193">
        <w:t>w</w:t>
      </w:r>
      <w:r w:rsidR="004C4FDC">
        <w:t>.ppas.sk</w:t>
      </w:r>
      <w:proofErr w:type="spellEnd"/>
      <w:r w:rsidRPr="00194BFD">
        <w:t>.</w:t>
      </w:r>
    </w:p>
    <w:p w:rsidR="004D3B4A" w:rsidRDefault="004D3B4A" w:rsidP="004D3B4A">
      <w:pPr>
        <w:pStyle w:val="Zkladntext"/>
      </w:pPr>
    </w:p>
    <w:p w:rsidR="004D3B4A" w:rsidRDefault="004D3B4A" w:rsidP="004D3B4A">
      <w:pPr>
        <w:pStyle w:val="Nadpis2"/>
        <w:numPr>
          <w:ilvl w:val="0"/>
          <w:numId w:val="2"/>
        </w:numPr>
      </w:pPr>
      <w:r>
        <w:t>Schválenie audítora</w:t>
      </w:r>
    </w:p>
    <w:p w:rsidR="004D3B4A" w:rsidRDefault="004D3B4A" w:rsidP="004D3B4A">
      <w:pPr>
        <w:pStyle w:val="Zkladntext"/>
      </w:pPr>
      <w:r>
        <w:t>Valné zhromaždenie 2</w:t>
      </w:r>
      <w:r w:rsidR="004C4FDC">
        <w:t>5</w:t>
      </w:r>
      <w:r>
        <w:t xml:space="preserve">. </w:t>
      </w:r>
      <w:r w:rsidR="004C4FDC">
        <w:t>mája</w:t>
      </w:r>
      <w:r>
        <w:t xml:space="preserve"> 201</w:t>
      </w:r>
      <w:r w:rsidR="004C4FDC">
        <w:t>2</w:t>
      </w:r>
      <w:r>
        <w:t xml:space="preserve"> </w:t>
      </w:r>
      <w:r w:rsidR="004C4FDC">
        <w:t>potvrdi</w:t>
      </w:r>
      <w:r>
        <w:t xml:space="preserve">lo spoločnosť </w:t>
      </w:r>
      <w:r w:rsidR="00641A25">
        <w:t>TATRAAUDIT s.r.o.</w:t>
      </w:r>
      <w:r>
        <w:t xml:space="preserve"> ako audítora na overenie účtovnej závierky za účtovné obdobie od 1. januára 201</w:t>
      </w:r>
      <w:r w:rsidR="004C4FDC">
        <w:t>2</w:t>
      </w:r>
      <w:r>
        <w:t xml:space="preserve"> do 31. decembra 201</w:t>
      </w:r>
      <w:r w:rsidR="004C4FDC">
        <w:t>2</w:t>
      </w:r>
      <w:r>
        <w:t>.</w:t>
      </w:r>
    </w:p>
    <w:bookmarkEnd w:id="3"/>
    <w:bookmarkEnd w:id="4"/>
    <w:p w:rsidR="004D3B4A" w:rsidRDefault="004D3B4A" w:rsidP="004D3B4A">
      <w:pPr>
        <w:pStyle w:val="Zkladntext"/>
        <w:jc w:val="left"/>
      </w:pPr>
    </w:p>
    <w:p w:rsidR="004D3B4A" w:rsidRDefault="004D3B4A" w:rsidP="004D3B4A">
      <w:pPr>
        <w:pStyle w:val="Nadpis1"/>
        <w:tabs>
          <w:tab w:val="clear" w:pos="450"/>
          <w:tab w:val="num" w:pos="360"/>
        </w:tabs>
        <w:spacing w:before="120" w:after="60"/>
        <w:ind w:left="360"/>
      </w:pPr>
      <w:bookmarkStart w:id="5" w:name="_Toc530739897"/>
      <w:r>
        <w:t>Informácie o orgánoch účtovnej jednotky</w:t>
      </w:r>
      <w:bookmarkEnd w:id="5"/>
    </w:p>
    <w:p w:rsidR="004D3B4A" w:rsidRDefault="004D3B4A" w:rsidP="004D3B4A"/>
    <w:p w:rsidR="004D3B4A" w:rsidRDefault="00641A25" w:rsidP="004D3B4A">
      <w:pPr>
        <w:pStyle w:val="Zkladntext"/>
      </w:pPr>
      <w:r>
        <w:t xml:space="preserve">Predstavenstvo </w:t>
      </w:r>
      <w:r w:rsidR="004D3B4A">
        <w:tab/>
        <w:t xml:space="preserve">Ing. Peter </w:t>
      </w:r>
      <w:r>
        <w:t>Slimák predseda predstavenstva spoločnosti</w:t>
      </w:r>
    </w:p>
    <w:p w:rsidR="004D3B4A" w:rsidRDefault="004D3B4A" w:rsidP="004D3B4A">
      <w:pPr>
        <w:pStyle w:val="Zkladntext"/>
      </w:pPr>
      <w:r>
        <w:tab/>
      </w:r>
      <w:r>
        <w:tab/>
      </w:r>
      <w:r>
        <w:tab/>
        <w:t xml:space="preserve">Ing. </w:t>
      </w:r>
      <w:r w:rsidR="00641A25">
        <w:t xml:space="preserve">Jozef </w:t>
      </w:r>
      <w:proofErr w:type="spellStart"/>
      <w:r w:rsidR="00641A25">
        <w:t>Šiškovič</w:t>
      </w:r>
      <w:proofErr w:type="spellEnd"/>
      <w:r w:rsidR="00641A25">
        <w:t xml:space="preserve"> člen predstavenstva</w:t>
      </w:r>
    </w:p>
    <w:p w:rsidR="00641A25" w:rsidRDefault="00641A25" w:rsidP="004D3B4A">
      <w:pPr>
        <w:pStyle w:val="Zkladntext"/>
      </w:pPr>
      <w:r>
        <w:t xml:space="preserve">                                      </w:t>
      </w:r>
      <w:r w:rsidR="004C4FDC">
        <w:t xml:space="preserve">Mgr. Ľubomír </w:t>
      </w:r>
      <w:proofErr w:type="spellStart"/>
      <w:r w:rsidR="004C4FDC">
        <w:t>Štefaňák</w:t>
      </w:r>
      <w:proofErr w:type="spellEnd"/>
      <w:r>
        <w:t xml:space="preserve"> člen predstavenstva</w:t>
      </w:r>
    </w:p>
    <w:p w:rsidR="004D3B4A" w:rsidRPr="00DF1C9A" w:rsidRDefault="004D3B4A" w:rsidP="004D3B4A">
      <w:pPr>
        <w:pStyle w:val="Zkladntext"/>
      </w:pPr>
      <w:r>
        <w:t>Dozorná rada</w:t>
      </w:r>
      <w:r>
        <w:tab/>
      </w:r>
      <w:r>
        <w:tab/>
      </w:r>
      <w:r w:rsidR="00641A25">
        <w:t xml:space="preserve">Miriam </w:t>
      </w:r>
      <w:proofErr w:type="spellStart"/>
      <w:r w:rsidR="00641A25">
        <w:t>Slimáková</w:t>
      </w:r>
      <w:proofErr w:type="spellEnd"/>
      <w:r>
        <w:t xml:space="preserve"> – </w:t>
      </w:r>
      <w:r w:rsidRPr="00DF1C9A">
        <w:t>predseda</w:t>
      </w:r>
      <w:r w:rsidR="00641A25">
        <w:t xml:space="preserve"> DR</w:t>
      </w:r>
    </w:p>
    <w:p w:rsidR="004D3B4A" w:rsidRPr="00DF1C9A" w:rsidRDefault="004D3B4A" w:rsidP="004D3B4A">
      <w:pPr>
        <w:pStyle w:val="Zkladntext"/>
      </w:pPr>
      <w:r w:rsidRPr="00DF1C9A">
        <w:tab/>
      </w:r>
      <w:r w:rsidRPr="00DF1C9A">
        <w:tab/>
      </w:r>
      <w:r w:rsidRPr="00DF1C9A">
        <w:tab/>
      </w:r>
      <w:r w:rsidR="00641A25">
        <w:t>Ing. Emil Jamrich člen DR</w:t>
      </w:r>
    </w:p>
    <w:p w:rsidR="004D3B4A" w:rsidRDefault="004D3B4A" w:rsidP="004D3B4A">
      <w:pPr>
        <w:pStyle w:val="Zkladntext"/>
      </w:pPr>
      <w:r>
        <w:tab/>
      </w:r>
      <w:r>
        <w:tab/>
      </w:r>
      <w:r>
        <w:tab/>
      </w:r>
      <w:r w:rsidR="00641A25">
        <w:t xml:space="preserve">Lucia </w:t>
      </w:r>
      <w:proofErr w:type="spellStart"/>
      <w:r w:rsidR="00641A25">
        <w:t>Masloviaková</w:t>
      </w:r>
      <w:proofErr w:type="spellEnd"/>
      <w:r w:rsidR="00641A25">
        <w:t xml:space="preserve"> člen DR</w:t>
      </w:r>
    </w:p>
    <w:p w:rsidR="004D3B4A" w:rsidRDefault="004D3B4A" w:rsidP="004D3B4A">
      <w:pPr>
        <w:pStyle w:val="Zkladntext"/>
      </w:pPr>
      <w:r>
        <w:t>Prokurista</w:t>
      </w:r>
      <w:r>
        <w:tab/>
      </w:r>
      <w:r>
        <w:tab/>
        <w:t xml:space="preserve">Ing. </w:t>
      </w:r>
      <w:r w:rsidR="00641A25">
        <w:t>Peter Slimák</w:t>
      </w:r>
    </w:p>
    <w:p w:rsidR="00641A25" w:rsidRDefault="00F74799" w:rsidP="00F74799">
      <w:pPr>
        <w:pStyle w:val="Zkladntext"/>
        <w:tabs>
          <w:tab w:val="left" w:pos="2145"/>
        </w:tabs>
      </w:pPr>
      <w:r>
        <w:tab/>
        <w:t>Riaditeľ spoločnosti</w:t>
      </w:r>
    </w:p>
    <w:p w:rsidR="004D3B4A" w:rsidRDefault="004D3B4A" w:rsidP="004D3B4A">
      <w:pPr>
        <w:pStyle w:val="Nadpis1"/>
        <w:tabs>
          <w:tab w:val="clear" w:pos="450"/>
          <w:tab w:val="num" w:pos="360"/>
        </w:tabs>
        <w:spacing w:before="120" w:after="60"/>
        <w:ind w:left="360"/>
      </w:pPr>
      <w:bookmarkStart w:id="6" w:name="_Toc530739898"/>
      <w:r>
        <w:t>informácie o</w:t>
      </w:r>
      <w:r w:rsidR="00641A25">
        <w:t> AKCIONÁROCH  Ú</w:t>
      </w:r>
      <w:r>
        <w:t>čtovnej jednotky</w:t>
      </w:r>
      <w:bookmarkEnd w:id="6"/>
    </w:p>
    <w:p w:rsidR="004D3B4A" w:rsidRDefault="004D3B4A" w:rsidP="004D3B4A"/>
    <w:p w:rsidR="00D54563" w:rsidRPr="00423AFA" w:rsidRDefault="00641A25" w:rsidP="00D54563">
      <w:pPr>
        <w:pStyle w:val="Zkladntext"/>
      </w:pPr>
      <w:r>
        <w:t xml:space="preserve">Spoločnosť PRO POPULO PP a.s. je akcionársky stabilizovaná a jej majoritní akcionári realizujú prostredníctvom </w:t>
      </w:r>
      <w:r w:rsidR="004C4FDC">
        <w:t xml:space="preserve">aktívnej účasti </w:t>
      </w:r>
      <w:r>
        <w:t xml:space="preserve"> na valnom zhromaždení strategické zámery rozvoja spoločnosti a jej podnikateľsk</w:t>
      </w:r>
      <w:r w:rsidR="00014193">
        <w:t>ej</w:t>
      </w:r>
      <w:r>
        <w:t xml:space="preserve"> </w:t>
      </w:r>
      <w:r w:rsidR="00014193">
        <w:t>činnosti</w:t>
      </w:r>
      <w:r>
        <w:t>.</w:t>
      </w:r>
    </w:p>
    <w:bookmarkStart w:id="7" w:name="_MON_1393711040"/>
    <w:bookmarkEnd w:id="7"/>
    <w:p w:rsidR="00D54563" w:rsidRDefault="00CD6244" w:rsidP="004D3B4A">
      <w:pPr>
        <w:pStyle w:val="Zkladntext"/>
      </w:pPr>
      <w:r>
        <w:object w:dxaOrig="9296" w:dyaOrig="3731">
          <v:shape id="_x0000_i1026" type="#_x0000_t75" style="width:436.1pt;height:194.25pt" o:ole="" o:preferrelative="f">
            <v:imagedata r:id="rId16" o:title=""/>
            <o:lock v:ext="edit" aspectratio="f"/>
          </v:shape>
          <o:OLEObject Type="Embed" ProgID="Excel.Sheet.12" ShapeID="_x0000_i1026" DrawAspect="Content" ObjectID="_1427001790" r:id="rId17"/>
        </w:object>
      </w:r>
    </w:p>
    <w:p w:rsidR="00CD6244" w:rsidRDefault="00CD6244">
      <w:pPr>
        <w:ind w:left="426"/>
        <w:jc w:val="both"/>
        <w:rPr>
          <w:sz w:val="18"/>
          <w:szCs w:val="18"/>
        </w:rPr>
      </w:pPr>
    </w:p>
    <w:p w:rsidR="002D2C39" w:rsidRDefault="00CD6244">
      <w:pPr>
        <w:ind w:left="426"/>
        <w:jc w:val="both"/>
        <w:rPr>
          <w:sz w:val="18"/>
          <w:szCs w:val="18"/>
        </w:rPr>
      </w:pPr>
      <w:r>
        <w:rPr>
          <w:sz w:val="18"/>
          <w:szCs w:val="18"/>
        </w:rPr>
        <w:t xml:space="preserve">Spoločnosť emitovala 107.160 ks akcií na doručiteľa v menovitej hodnote 34 EUR a 7 akcií na meno </w:t>
      </w:r>
      <w:r w:rsidR="002D2C39">
        <w:rPr>
          <w:sz w:val="18"/>
          <w:szCs w:val="18"/>
        </w:rPr>
        <w:t xml:space="preserve"> s počtom 70 hlasov v menovitej hodnote 340 EUR  </w:t>
      </w:r>
      <w:r w:rsidR="002722A2">
        <w:rPr>
          <w:sz w:val="18"/>
          <w:szCs w:val="18"/>
        </w:rPr>
        <w:t xml:space="preserve">na 1. </w:t>
      </w:r>
      <w:r>
        <w:rPr>
          <w:sz w:val="18"/>
          <w:szCs w:val="18"/>
        </w:rPr>
        <w:t>A</w:t>
      </w:r>
      <w:r w:rsidR="002722A2">
        <w:rPr>
          <w:sz w:val="18"/>
          <w:szCs w:val="18"/>
        </w:rPr>
        <w:t>kciu</w:t>
      </w:r>
      <w:r>
        <w:rPr>
          <w:sz w:val="18"/>
          <w:szCs w:val="18"/>
        </w:rPr>
        <w:t>. Držiteľmi akcií na meno sú</w:t>
      </w:r>
      <w:r w:rsidR="002D2C39">
        <w:rPr>
          <w:sz w:val="18"/>
          <w:szCs w:val="18"/>
        </w:rPr>
        <w:t xml:space="preserve"> majoritní a strategickí akcionári spoločnosti.</w:t>
      </w:r>
    </w:p>
    <w:p w:rsidR="002D2C39" w:rsidRDefault="002D2C39">
      <w:pPr>
        <w:ind w:left="426"/>
        <w:jc w:val="both"/>
        <w:rPr>
          <w:sz w:val="18"/>
          <w:szCs w:val="18"/>
        </w:rPr>
      </w:pPr>
    </w:p>
    <w:p w:rsidR="002D2C39" w:rsidRDefault="002D2C39">
      <w:pPr>
        <w:ind w:left="426"/>
        <w:jc w:val="both"/>
        <w:rPr>
          <w:sz w:val="18"/>
          <w:szCs w:val="18"/>
        </w:rPr>
      </w:pPr>
      <w:r>
        <w:rPr>
          <w:sz w:val="18"/>
          <w:szCs w:val="18"/>
        </w:rPr>
        <w:t xml:space="preserve">Všetky rozhodnutia prijímané na valnom zhromaždení musia schváliť </w:t>
      </w:r>
      <w:r w:rsidR="00243C4F">
        <w:rPr>
          <w:sz w:val="18"/>
          <w:szCs w:val="18"/>
        </w:rPr>
        <w:t xml:space="preserve">v samostatnom hlasovaní </w:t>
      </w:r>
      <w:r>
        <w:rPr>
          <w:sz w:val="18"/>
          <w:szCs w:val="18"/>
        </w:rPr>
        <w:t xml:space="preserve">majitelia všetkých druhov akcií v zmysle pravidiel rozhodovania </w:t>
      </w:r>
      <w:r w:rsidR="002722A2">
        <w:rPr>
          <w:sz w:val="18"/>
          <w:szCs w:val="18"/>
        </w:rPr>
        <w:t xml:space="preserve">valného zhromaždenia </w:t>
      </w:r>
      <w:r>
        <w:rPr>
          <w:sz w:val="18"/>
          <w:szCs w:val="18"/>
        </w:rPr>
        <w:t>schváleného v platných stanovách spoločnosti.</w:t>
      </w:r>
    </w:p>
    <w:p w:rsidR="002D2C39" w:rsidRDefault="002D2C39">
      <w:pPr>
        <w:ind w:left="426"/>
        <w:jc w:val="both"/>
        <w:rPr>
          <w:sz w:val="18"/>
          <w:szCs w:val="18"/>
        </w:rPr>
      </w:pPr>
    </w:p>
    <w:p w:rsidR="000E051D" w:rsidRDefault="002D2C39">
      <w:pPr>
        <w:ind w:left="426"/>
        <w:jc w:val="both"/>
        <w:rPr>
          <w:sz w:val="18"/>
          <w:szCs w:val="18"/>
        </w:rPr>
      </w:pPr>
      <w:r>
        <w:rPr>
          <w:sz w:val="18"/>
          <w:szCs w:val="18"/>
        </w:rPr>
        <w:t xml:space="preserve"> </w:t>
      </w:r>
    </w:p>
    <w:p w:rsidR="004D3B4A" w:rsidRDefault="004D3B4A" w:rsidP="004D3B4A">
      <w:pPr>
        <w:pStyle w:val="Nadpis1"/>
        <w:tabs>
          <w:tab w:val="clear" w:pos="450"/>
          <w:tab w:val="num" w:pos="360"/>
        </w:tabs>
        <w:spacing w:before="120" w:after="60"/>
        <w:ind w:left="360"/>
      </w:pPr>
      <w:r>
        <w:t>Informácie o konsolidovanom celku</w:t>
      </w:r>
    </w:p>
    <w:p w:rsidR="004D3B4A" w:rsidRDefault="004D3B4A" w:rsidP="004D3B4A">
      <w:pPr>
        <w:pStyle w:val="Zkladntext"/>
      </w:pPr>
    </w:p>
    <w:p w:rsidR="00651689" w:rsidRDefault="004D3B4A" w:rsidP="002D2C39">
      <w:pPr>
        <w:pStyle w:val="Zkladntext"/>
        <w:ind w:left="360"/>
      </w:pPr>
      <w:r>
        <w:t>Spoločnos</w:t>
      </w:r>
      <w:r w:rsidR="002D2C39">
        <w:t>ti nevyplýva povinnosť zostavovať konsolidovanú účtovnú závierku.</w:t>
      </w:r>
      <w:r w:rsidR="00651689">
        <w:t xml:space="preserve"> </w:t>
      </w:r>
    </w:p>
    <w:p w:rsidR="004D3B4A" w:rsidRDefault="004D3B4A" w:rsidP="004D3B4A">
      <w:pPr>
        <w:pStyle w:val="Zkladntext"/>
      </w:pPr>
    </w:p>
    <w:p w:rsidR="004D3B4A" w:rsidRDefault="004D3B4A" w:rsidP="004D3B4A">
      <w:pPr>
        <w:pStyle w:val="Nadpis1"/>
        <w:tabs>
          <w:tab w:val="clear" w:pos="450"/>
          <w:tab w:val="num" w:pos="360"/>
        </w:tabs>
        <w:spacing w:before="120" w:after="60"/>
        <w:ind w:left="360"/>
      </w:pPr>
      <w:bookmarkStart w:id="8" w:name="_Toc530739899"/>
      <w:r>
        <w:t>Informácie o</w:t>
      </w:r>
      <w:r w:rsidR="002D2C39">
        <w:t xml:space="preserve">  </w:t>
      </w:r>
      <w:r>
        <w:t>účtovných</w:t>
      </w:r>
      <w:r w:rsidR="002D2C39">
        <w:t xml:space="preserve"> </w:t>
      </w:r>
      <w:r>
        <w:t xml:space="preserve"> zásadách </w:t>
      </w:r>
      <w:r w:rsidR="002D2C39">
        <w:t xml:space="preserve"> </w:t>
      </w:r>
      <w:r>
        <w:t>a</w:t>
      </w:r>
      <w:r w:rsidR="002D2C39">
        <w:t> </w:t>
      </w:r>
      <w:r>
        <w:t>účtovných</w:t>
      </w:r>
      <w:r w:rsidR="002D2C39">
        <w:t xml:space="preserve"> </w:t>
      </w:r>
      <w:r>
        <w:t xml:space="preserve"> metódach  </w:t>
      </w:r>
      <w:bookmarkEnd w:id="8"/>
    </w:p>
    <w:p w:rsidR="004D3B4A" w:rsidRDefault="004D3B4A" w:rsidP="004D3B4A">
      <w:pPr>
        <w:pStyle w:val="Zkladntext"/>
      </w:pPr>
    </w:p>
    <w:p w:rsidR="004D3B4A" w:rsidRDefault="004D3B4A" w:rsidP="00251BF2">
      <w:pPr>
        <w:pStyle w:val="Pismenka"/>
        <w:tabs>
          <w:tab w:val="clear" w:pos="426"/>
        </w:tabs>
        <w:ind w:left="426"/>
      </w:pPr>
      <w:r>
        <w:t>Východiská pre zostavenie účtovnej závierky</w:t>
      </w:r>
    </w:p>
    <w:p w:rsidR="004D3B4A" w:rsidRDefault="004D3B4A" w:rsidP="004D3B4A">
      <w:pPr>
        <w:pStyle w:val="Zkladntext"/>
        <w:ind w:left="450"/>
      </w:pPr>
      <w:r>
        <w:t>Účtovná závierka bola zostavená za predpokladu nepretržitého trvania Spoločnosti (</w:t>
      </w:r>
      <w:proofErr w:type="spellStart"/>
      <w:r>
        <w:t>going</w:t>
      </w:r>
      <w:proofErr w:type="spellEnd"/>
      <w:r>
        <w:t xml:space="preserve"> </w:t>
      </w:r>
      <w:proofErr w:type="spellStart"/>
      <w:r>
        <w:t>concern</w:t>
      </w:r>
      <w:proofErr w:type="spellEnd"/>
      <w:r>
        <w:t>).</w:t>
      </w:r>
    </w:p>
    <w:p w:rsidR="004D3B4A" w:rsidRDefault="004D3B4A" w:rsidP="004D3B4A">
      <w:pPr>
        <w:pStyle w:val="Zkladntext"/>
        <w:ind w:left="450"/>
      </w:pPr>
    </w:p>
    <w:p w:rsidR="004D3B4A" w:rsidRDefault="004D3B4A" w:rsidP="004D3B4A">
      <w:pPr>
        <w:pStyle w:val="Zkladntext"/>
        <w:ind w:left="450"/>
      </w:pPr>
      <w:r w:rsidRPr="00194BFD">
        <w:t xml:space="preserve">Účtovné metódy a všeobecné účtovné zásady </w:t>
      </w:r>
      <w:r w:rsidR="00727DD4">
        <w:t>sú</w:t>
      </w:r>
      <w:r w:rsidRPr="00194BFD">
        <w:t xml:space="preserve"> účtovnou jednotkou</w:t>
      </w:r>
      <w:r w:rsidR="009E65D7">
        <w:t xml:space="preserve"> konzistentne</w:t>
      </w:r>
      <w:r w:rsidRPr="00194BFD">
        <w:t xml:space="preserve"> aplikované</w:t>
      </w:r>
    </w:p>
    <w:p w:rsidR="004D3B4A" w:rsidRDefault="004D3B4A" w:rsidP="004D3B4A">
      <w:pPr>
        <w:pStyle w:val="Zkladntext"/>
        <w:ind w:left="450"/>
      </w:pPr>
    </w:p>
    <w:p w:rsidR="00727DD4" w:rsidRDefault="00727DD4" w:rsidP="006D3D0B">
      <w:pPr>
        <w:pStyle w:val="Zkladntext"/>
        <w:ind w:left="709"/>
      </w:pPr>
    </w:p>
    <w:p w:rsidR="004D3B4A" w:rsidRDefault="004D3B4A" w:rsidP="00251BF2">
      <w:pPr>
        <w:pStyle w:val="Pismenka"/>
        <w:tabs>
          <w:tab w:val="clear" w:pos="426"/>
        </w:tabs>
        <w:ind w:left="426"/>
      </w:pPr>
      <w:r>
        <w:t>Dlhodobý nehmotný majetok a dlhodobý hmotný majetok</w:t>
      </w:r>
    </w:p>
    <w:p w:rsidR="004D3B4A" w:rsidRDefault="004D3B4A" w:rsidP="004D3B4A">
      <w:pPr>
        <w:pStyle w:val="Zkladntext"/>
      </w:pPr>
      <w:r>
        <w:t xml:space="preserve">Dlhodobý majetok nakupovaný sa oceňuje obstarávacou cenou, ktorá zahŕňa cenu obstarania a náklady súvisiace s obstaraním (clo, prepravu, montáž, poistné a pod.). </w:t>
      </w:r>
    </w:p>
    <w:p w:rsidR="004D3B4A" w:rsidRDefault="004D3B4A" w:rsidP="004D3B4A">
      <w:pPr>
        <w:pStyle w:val="Zkladntext"/>
      </w:pPr>
    </w:p>
    <w:p w:rsidR="004D3B4A" w:rsidRDefault="004D3B4A" w:rsidP="004D3B4A">
      <w:pPr>
        <w:pStyle w:val="Zkladntext"/>
      </w:pPr>
      <w:r>
        <w:t>Súčasťou obstarávacej ceny dlhodobého hmotného majetku od 1. januára 2003 nie sú úroky z cudzích zdrojov ani realizované kurzové rozdiely, ktoré vznikli do momentu uvedenia dlhodobého majetku do používania.</w:t>
      </w:r>
    </w:p>
    <w:p w:rsidR="004D3B4A" w:rsidRDefault="004D3B4A" w:rsidP="004D3B4A">
      <w:pPr>
        <w:pStyle w:val="Zkladntext"/>
      </w:pPr>
    </w:p>
    <w:p w:rsidR="004D3B4A" w:rsidRDefault="004D3B4A" w:rsidP="004D3B4A">
      <w:pPr>
        <w:pStyle w:val="Zkladntext"/>
      </w:pPr>
      <w:r>
        <w:t>Súčasťou obstarávacej ceny dlhodobého nehmotného majetku nie sú od 1. júla 2010 úroky z cudzích zdrojov, ktoré vznikli do momentu zaradenia dlhodobého nehmotného majetku do používania.</w:t>
      </w:r>
    </w:p>
    <w:p w:rsidR="004D3B4A" w:rsidRDefault="004D3B4A" w:rsidP="004D3B4A">
      <w:pPr>
        <w:pStyle w:val="Zkladntext"/>
      </w:pPr>
    </w:p>
    <w:p w:rsidR="004D3B4A" w:rsidRDefault="004D3B4A" w:rsidP="004D3B4A">
      <w:pPr>
        <w:pStyle w:val="Zkladntext"/>
      </w:pPr>
      <w:r>
        <w:t xml:space="preserve">Dlhodobý majetok vytvorený vlastnou činnosťou sa oceňuje vlastnými nákladmi. Vlastnými nákladmi sú všetky priame náklady vynaložené na výrobu alebo inú činnosť a nepriame náklady, ktoré sa vzťahujú na výrobu alebo inú činnosť. </w:t>
      </w:r>
    </w:p>
    <w:p w:rsidR="0058479C" w:rsidRDefault="0058479C" w:rsidP="004D3B4A">
      <w:pPr>
        <w:pStyle w:val="Zkladntext"/>
      </w:pPr>
    </w:p>
    <w:p w:rsidR="004D3B4A" w:rsidRDefault="004D3B4A" w:rsidP="004D3B4A">
      <w:pPr>
        <w:pStyle w:val="Zkladntext"/>
      </w:pPr>
      <w:r>
        <w:t xml:space="preserve">Odpisy dlhodobého nehmotného majetku sú stanovené vychádzajúc z predpokladanej doby jeho používania a predpokladaného priebehu jeho opotrebenia. Odpisovať sa začína prvým dňom mesiaca </w:t>
      </w:r>
      <w:r w:rsidR="008500D0">
        <w:t>v ktorom bol</w:t>
      </w:r>
      <w:r>
        <w:t xml:space="preserve"> uvedení dlhodob</w:t>
      </w:r>
      <w:r w:rsidR="008500D0">
        <w:t>ý</w:t>
      </w:r>
      <w:r>
        <w:t xml:space="preserve"> majet</w:t>
      </w:r>
      <w:r w:rsidR="008500D0">
        <w:t>o</w:t>
      </w:r>
      <w:r>
        <w:t xml:space="preserve">k do používania. Drobný dlhodobý nehmotný majetok, ktorého obstarávacia cena (resp. vlastné náklady) je </w:t>
      </w:r>
      <w:r w:rsidRPr="00F7710B">
        <w:t>2</w:t>
      </w:r>
      <w:r w:rsidRPr="00DF04B4">
        <w:t> </w:t>
      </w:r>
      <w:r>
        <w:t>400</w:t>
      </w:r>
      <w:r w:rsidRPr="00DF04B4">
        <w:t xml:space="preserve"> EUR</w:t>
      </w:r>
      <w:r>
        <w:t xml:space="preserve"> a nižšia, sa odpisuje jednorazovo </w:t>
      </w:r>
      <w:r w:rsidR="008500D0">
        <w:t xml:space="preserve">do nákladov </w:t>
      </w:r>
      <w:r>
        <w:t>pri uvedení do používania. Predpokladaná doba používania, metóda odpisovania a odpisová sadzba sú uvedené v nasledujúcej tabuľke:</w:t>
      </w:r>
    </w:p>
    <w:p w:rsidR="004D3B4A" w:rsidRDefault="004D3B4A" w:rsidP="004D3B4A">
      <w:pPr>
        <w:pStyle w:val="Zkladntext"/>
      </w:pPr>
    </w:p>
    <w:tbl>
      <w:tblPr>
        <w:tblW w:w="0" w:type="auto"/>
        <w:tblInd w:w="456" w:type="dxa"/>
        <w:tblCellMar>
          <w:left w:w="30" w:type="dxa"/>
          <w:right w:w="30" w:type="dxa"/>
        </w:tblCellMar>
        <w:tblLook w:val="0000"/>
      </w:tblPr>
      <w:tblGrid>
        <w:gridCol w:w="2898"/>
        <w:gridCol w:w="416"/>
        <w:gridCol w:w="1545"/>
        <w:gridCol w:w="222"/>
        <w:gridCol w:w="1817"/>
        <w:gridCol w:w="222"/>
        <w:gridCol w:w="1696"/>
      </w:tblGrid>
      <w:tr w:rsidR="004D3B4A" w:rsidTr="009E65D7">
        <w:trPr>
          <w:trHeight w:val="250"/>
        </w:trPr>
        <w:tc>
          <w:tcPr>
            <w:tcW w:w="3315" w:type="dxa"/>
            <w:gridSpan w:val="2"/>
          </w:tcPr>
          <w:p w:rsidR="004D3B4A" w:rsidRDefault="004D3B4A" w:rsidP="0000290B">
            <w:pPr>
              <w:pStyle w:val="Tabulka"/>
            </w:pPr>
            <w:r>
              <w:br w:type="page"/>
            </w:r>
          </w:p>
        </w:tc>
        <w:tc>
          <w:tcPr>
            <w:tcW w:w="1545" w:type="dxa"/>
          </w:tcPr>
          <w:p w:rsidR="004D3B4A" w:rsidRDefault="004D3B4A" w:rsidP="0000290B">
            <w:pPr>
              <w:pStyle w:val="Tabulka"/>
              <w:jc w:val="center"/>
            </w:pPr>
            <w:r>
              <w:t>Predpokladaná</w:t>
            </w:r>
          </w:p>
        </w:tc>
        <w:tc>
          <w:tcPr>
            <w:tcW w:w="222" w:type="dxa"/>
          </w:tcPr>
          <w:p w:rsidR="004D3B4A" w:rsidRDefault="004D3B4A" w:rsidP="0000290B">
            <w:pPr>
              <w:pStyle w:val="Tabulka"/>
              <w:jc w:val="center"/>
            </w:pPr>
          </w:p>
        </w:tc>
        <w:tc>
          <w:tcPr>
            <w:tcW w:w="1817" w:type="dxa"/>
          </w:tcPr>
          <w:p w:rsidR="004D3B4A" w:rsidRDefault="004D3B4A" w:rsidP="0000290B">
            <w:pPr>
              <w:pStyle w:val="Tabulka"/>
              <w:jc w:val="center"/>
            </w:pPr>
            <w:r>
              <w:t>Metóda</w:t>
            </w:r>
          </w:p>
        </w:tc>
        <w:tc>
          <w:tcPr>
            <w:tcW w:w="222" w:type="dxa"/>
          </w:tcPr>
          <w:p w:rsidR="004D3B4A" w:rsidRDefault="004D3B4A" w:rsidP="0000290B">
            <w:pPr>
              <w:pStyle w:val="Tabulka"/>
              <w:jc w:val="center"/>
            </w:pPr>
          </w:p>
        </w:tc>
        <w:tc>
          <w:tcPr>
            <w:tcW w:w="1696" w:type="dxa"/>
          </w:tcPr>
          <w:p w:rsidR="004D3B4A" w:rsidRDefault="004D3B4A" w:rsidP="0000290B">
            <w:pPr>
              <w:pStyle w:val="Tabulka"/>
              <w:jc w:val="center"/>
            </w:pPr>
            <w:r>
              <w:t>Ročná odpisová</w:t>
            </w:r>
          </w:p>
        </w:tc>
      </w:tr>
      <w:tr w:rsidR="005B316E" w:rsidTr="009E65D7">
        <w:trPr>
          <w:trHeight w:val="250"/>
        </w:trPr>
        <w:tc>
          <w:tcPr>
            <w:tcW w:w="2899" w:type="dxa"/>
            <w:tcBorders>
              <w:bottom w:val="single" w:sz="4" w:space="0" w:color="auto"/>
            </w:tcBorders>
          </w:tcPr>
          <w:p w:rsidR="004D3B4A" w:rsidRDefault="004D3B4A" w:rsidP="0000290B">
            <w:pPr>
              <w:pStyle w:val="Tabulka"/>
            </w:pPr>
          </w:p>
        </w:tc>
        <w:tc>
          <w:tcPr>
            <w:tcW w:w="416" w:type="dxa"/>
            <w:tcBorders>
              <w:bottom w:val="single" w:sz="4" w:space="0" w:color="auto"/>
            </w:tcBorders>
          </w:tcPr>
          <w:p w:rsidR="004D3B4A" w:rsidRDefault="004D3B4A" w:rsidP="0000290B">
            <w:pPr>
              <w:pStyle w:val="Tabulka"/>
            </w:pPr>
          </w:p>
        </w:tc>
        <w:tc>
          <w:tcPr>
            <w:tcW w:w="1545" w:type="dxa"/>
            <w:tcBorders>
              <w:bottom w:val="single" w:sz="4" w:space="0" w:color="auto"/>
            </w:tcBorders>
          </w:tcPr>
          <w:p w:rsidR="004D3B4A" w:rsidRDefault="004D3B4A" w:rsidP="0000290B">
            <w:pPr>
              <w:pStyle w:val="Tabulka"/>
              <w:jc w:val="center"/>
            </w:pPr>
            <w:r>
              <w:t>doba používania</w:t>
            </w:r>
            <w:r>
              <w:br/>
              <w:t>v rokoch</w:t>
            </w:r>
          </w:p>
        </w:tc>
        <w:tc>
          <w:tcPr>
            <w:tcW w:w="222" w:type="dxa"/>
            <w:tcBorders>
              <w:bottom w:val="single" w:sz="4" w:space="0" w:color="auto"/>
            </w:tcBorders>
          </w:tcPr>
          <w:p w:rsidR="004D3B4A" w:rsidRDefault="004D3B4A" w:rsidP="0000290B">
            <w:pPr>
              <w:pStyle w:val="Tabulka"/>
              <w:jc w:val="center"/>
            </w:pPr>
          </w:p>
        </w:tc>
        <w:tc>
          <w:tcPr>
            <w:tcW w:w="1817" w:type="dxa"/>
            <w:tcBorders>
              <w:bottom w:val="single" w:sz="4" w:space="0" w:color="auto"/>
            </w:tcBorders>
          </w:tcPr>
          <w:p w:rsidR="004D3B4A" w:rsidRDefault="004D3B4A" w:rsidP="0000290B">
            <w:pPr>
              <w:pStyle w:val="Tabulka"/>
              <w:jc w:val="center"/>
            </w:pPr>
            <w:r>
              <w:t>odpisovania</w:t>
            </w:r>
          </w:p>
        </w:tc>
        <w:tc>
          <w:tcPr>
            <w:tcW w:w="222" w:type="dxa"/>
            <w:tcBorders>
              <w:bottom w:val="single" w:sz="4" w:space="0" w:color="auto"/>
            </w:tcBorders>
          </w:tcPr>
          <w:p w:rsidR="004D3B4A" w:rsidRDefault="004D3B4A" w:rsidP="0000290B">
            <w:pPr>
              <w:pStyle w:val="Tabulka"/>
              <w:jc w:val="center"/>
            </w:pPr>
          </w:p>
        </w:tc>
        <w:tc>
          <w:tcPr>
            <w:tcW w:w="1696" w:type="dxa"/>
            <w:tcBorders>
              <w:bottom w:val="single" w:sz="4" w:space="0" w:color="auto"/>
            </w:tcBorders>
          </w:tcPr>
          <w:p w:rsidR="004D3B4A" w:rsidRDefault="004D3B4A" w:rsidP="0000290B">
            <w:pPr>
              <w:pStyle w:val="Tabulka"/>
              <w:jc w:val="center"/>
            </w:pPr>
            <w:r>
              <w:t>sadzba v %</w:t>
            </w:r>
          </w:p>
        </w:tc>
      </w:tr>
      <w:tr w:rsidR="004D3B4A" w:rsidTr="009E65D7">
        <w:trPr>
          <w:trHeight w:val="250"/>
        </w:trPr>
        <w:tc>
          <w:tcPr>
            <w:tcW w:w="3315" w:type="dxa"/>
            <w:gridSpan w:val="2"/>
          </w:tcPr>
          <w:p w:rsidR="004D3B4A" w:rsidRDefault="004D3B4A" w:rsidP="0000290B">
            <w:pPr>
              <w:pStyle w:val="Tabulka"/>
            </w:pPr>
            <w:r>
              <w:t>Softvér</w:t>
            </w:r>
          </w:p>
        </w:tc>
        <w:tc>
          <w:tcPr>
            <w:tcW w:w="1545" w:type="dxa"/>
          </w:tcPr>
          <w:p w:rsidR="004D3B4A" w:rsidRDefault="004D3B4A" w:rsidP="0000290B">
            <w:pPr>
              <w:pStyle w:val="Tabulka"/>
              <w:jc w:val="center"/>
            </w:pPr>
            <w:r>
              <w:t>4</w:t>
            </w:r>
          </w:p>
        </w:tc>
        <w:tc>
          <w:tcPr>
            <w:tcW w:w="222" w:type="dxa"/>
          </w:tcPr>
          <w:p w:rsidR="004D3B4A" w:rsidRDefault="004D3B4A" w:rsidP="0000290B">
            <w:pPr>
              <w:pStyle w:val="Tabulka"/>
              <w:jc w:val="center"/>
            </w:pPr>
          </w:p>
        </w:tc>
        <w:tc>
          <w:tcPr>
            <w:tcW w:w="1817" w:type="dxa"/>
          </w:tcPr>
          <w:p w:rsidR="004D3B4A" w:rsidRDefault="004D3B4A" w:rsidP="0000290B">
            <w:pPr>
              <w:pStyle w:val="Tabulka"/>
              <w:jc w:val="center"/>
            </w:pPr>
            <w:r>
              <w:t>lineárna</w:t>
            </w:r>
          </w:p>
        </w:tc>
        <w:tc>
          <w:tcPr>
            <w:tcW w:w="222" w:type="dxa"/>
          </w:tcPr>
          <w:p w:rsidR="004D3B4A" w:rsidRDefault="004D3B4A" w:rsidP="0000290B">
            <w:pPr>
              <w:pStyle w:val="Tabulka"/>
              <w:jc w:val="center"/>
            </w:pPr>
          </w:p>
        </w:tc>
        <w:tc>
          <w:tcPr>
            <w:tcW w:w="1696" w:type="dxa"/>
          </w:tcPr>
          <w:p w:rsidR="004D3B4A" w:rsidRDefault="004D3B4A" w:rsidP="0000290B">
            <w:pPr>
              <w:pStyle w:val="Tabulka"/>
              <w:jc w:val="center"/>
            </w:pPr>
            <w:r>
              <w:t>25</w:t>
            </w:r>
          </w:p>
        </w:tc>
      </w:tr>
      <w:tr w:rsidR="004D3B4A" w:rsidTr="009E65D7">
        <w:tblPrEx>
          <w:tblCellMar>
            <w:left w:w="108" w:type="dxa"/>
            <w:right w:w="108" w:type="dxa"/>
          </w:tblCellMar>
        </w:tblPrEx>
        <w:trPr>
          <w:trHeight w:val="245"/>
        </w:trPr>
        <w:tc>
          <w:tcPr>
            <w:tcW w:w="3315" w:type="dxa"/>
            <w:gridSpan w:val="2"/>
          </w:tcPr>
          <w:p w:rsidR="004D3B4A" w:rsidRDefault="004D3B4A" w:rsidP="0000290B">
            <w:pPr>
              <w:pStyle w:val="Tabulka"/>
              <w:ind w:hanging="84"/>
            </w:pPr>
            <w:r>
              <w:t>Drobný dlhodobý nehmotný majetok</w:t>
            </w:r>
          </w:p>
        </w:tc>
        <w:tc>
          <w:tcPr>
            <w:tcW w:w="1545" w:type="dxa"/>
          </w:tcPr>
          <w:p w:rsidR="004D3B4A" w:rsidRDefault="004D3B4A" w:rsidP="0000290B">
            <w:pPr>
              <w:pStyle w:val="Tabulka"/>
              <w:jc w:val="center"/>
            </w:pPr>
            <w:r>
              <w:t>rôzna</w:t>
            </w:r>
          </w:p>
        </w:tc>
        <w:tc>
          <w:tcPr>
            <w:tcW w:w="222" w:type="dxa"/>
          </w:tcPr>
          <w:p w:rsidR="004D3B4A" w:rsidRDefault="004D3B4A" w:rsidP="0000290B">
            <w:pPr>
              <w:pStyle w:val="Tabulka"/>
              <w:jc w:val="center"/>
            </w:pPr>
          </w:p>
        </w:tc>
        <w:tc>
          <w:tcPr>
            <w:tcW w:w="1817" w:type="dxa"/>
          </w:tcPr>
          <w:p w:rsidR="004D3B4A" w:rsidRDefault="004D3B4A" w:rsidP="0000290B">
            <w:pPr>
              <w:pStyle w:val="Tabulka"/>
              <w:jc w:val="center"/>
            </w:pPr>
            <w:r>
              <w:t>jednorazový odpis</w:t>
            </w:r>
          </w:p>
        </w:tc>
        <w:tc>
          <w:tcPr>
            <w:tcW w:w="222" w:type="dxa"/>
          </w:tcPr>
          <w:p w:rsidR="004D3B4A" w:rsidRDefault="004D3B4A" w:rsidP="0000290B">
            <w:pPr>
              <w:pStyle w:val="Tabulka"/>
              <w:jc w:val="center"/>
            </w:pPr>
          </w:p>
        </w:tc>
        <w:tc>
          <w:tcPr>
            <w:tcW w:w="1696" w:type="dxa"/>
          </w:tcPr>
          <w:p w:rsidR="004D3B4A" w:rsidRDefault="004D3B4A" w:rsidP="0000290B">
            <w:pPr>
              <w:pStyle w:val="Tabulka"/>
              <w:jc w:val="center"/>
            </w:pPr>
            <w:r>
              <w:t>100</w:t>
            </w:r>
          </w:p>
        </w:tc>
      </w:tr>
    </w:tbl>
    <w:p w:rsidR="004D3B4A" w:rsidRDefault="004D3B4A" w:rsidP="004D3B4A">
      <w:pPr>
        <w:pStyle w:val="Zkladntext"/>
      </w:pPr>
      <w:r>
        <w:lastRenderedPageBreak/>
        <w:t>Odpisy dlhodobého hmotného majetku sú stanovené vychádzajúc z predpokladanej doby jeho používania a predpokladaného priebehu jeho opotrebenia. Odpisovať sa začína prvým dňom</w:t>
      </w:r>
      <w:r w:rsidR="003D306A">
        <w:t xml:space="preserve"> </w:t>
      </w:r>
      <w:r>
        <w:t xml:space="preserve"> mesiaca </w:t>
      </w:r>
      <w:r w:rsidR="008500D0">
        <w:t>v ktorom bol dlhodobý majetok</w:t>
      </w:r>
      <w:r>
        <w:t xml:space="preserve"> uveden</w:t>
      </w:r>
      <w:r w:rsidR="009E65D7">
        <w:t>ý</w:t>
      </w:r>
      <w:r>
        <w:t xml:space="preserve"> do používania. Drobný dlhodobý hmotný majetok, ktorého obstarávacia ce</w:t>
      </w:r>
      <w:r w:rsidR="009E65D7">
        <w:t xml:space="preserve">na (resp. vlastné náklady) je 1 </w:t>
      </w:r>
      <w:r>
        <w:t xml:space="preserve">700 EUR a nižšia, sa odpisuje jednorazovo </w:t>
      </w:r>
      <w:r w:rsidR="008500D0">
        <w:t xml:space="preserve">do nákladov </w:t>
      </w:r>
      <w:r>
        <w:t>pri uvedení do používania. Pozemky sa neodpisujú. Predpokladaná doba používania, metóda odpisovania a odpisová sadzba sú uvedené v nasledujúcej tabuľke:</w:t>
      </w:r>
    </w:p>
    <w:p w:rsidR="004D3B4A" w:rsidRDefault="004D3B4A" w:rsidP="004D3B4A">
      <w:pPr>
        <w:pStyle w:val="Zkladntext"/>
      </w:pPr>
    </w:p>
    <w:tbl>
      <w:tblPr>
        <w:tblW w:w="0" w:type="auto"/>
        <w:tblInd w:w="456" w:type="dxa"/>
        <w:tblLayout w:type="fixed"/>
        <w:tblCellMar>
          <w:left w:w="30" w:type="dxa"/>
          <w:right w:w="30" w:type="dxa"/>
        </w:tblCellMar>
        <w:tblLook w:val="0000"/>
      </w:tblPr>
      <w:tblGrid>
        <w:gridCol w:w="2976"/>
        <w:gridCol w:w="142"/>
        <w:gridCol w:w="1985"/>
        <w:gridCol w:w="141"/>
        <w:gridCol w:w="1701"/>
        <w:gridCol w:w="142"/>
        <w:gridCol w:w="1701"/>
      </w:tblGrid>
      <w:tr w:rsidR="004D3B4A" w:rsidTr="0000290B">
        <w:trPr>
          <w:trHeight w:val="250"/>
        </w:trPr>
        <w:tc>
          <w:tcPr>
            <w:tcW w:w="3118" w:type="dxa"/>
            <w:gridSpan w:val="2"/>
          </w:tcPr>
          <w:p w:rsidR="004D3B4A" w:rsidRDefault="004D3B4A" w:rsidP="0000290B">
            <w:pPr>
              <w:pStyle w:val="Tabulka"/>
            </w:pPr>
          </w:p>
        </w:tc>
        <w:tc>
          <w:tcPr>
            <w:tcW w:w="1985" w:type="dxa"/>
          </w:tcPr>
          <w:p w:rsidR="004D3B4A" w:rsidRDefault="004D3B4A" w:rsidP="0000290B">
            <w:pPr>
              <w:pStyle w:val="Tabulka"/>
              <w:jc w:val="center"/>
            </w:pPr>
            <w:r>
              <w:t>Predpokladaná</w:t>
            </w:r>
          </w:p>
        </w:tc>
        <w:tc>
          <w:tcPr>
            <w:tcW w:w="141" w:type="dxa"/>
          </w:tcPr>
          <w:p w:rsidR="004D3B4A" w:rsidRDefault="004D3B4A" w:rsidP="0000290B">
            <w:pPr>
              <w:pStyle w:val="Tabulka"/>
              <w:jc w:val="center"/>
            </w:pPr>
          </w:p>
        </w:tc>
        <w:tc>
          <w:tcPr>
            <w:tcW w:w="1701" w:type="dxa"/>
          </w:tcPr>
          <w:p w:rsidR="004D3B4A" w:rsidRDefault="004D3B4A" w:rsidP="0000290B">
            <w:pPr>
              <w:pStyle w:val="Tabulka"/>
              <w:jc w:val="center"/>
            </w:pPr>
            <w:r>
              <w:t>Metóda</w:t>
            </w:r>
          </w:p>
        </w:tc>
        <w:tc>
          <w:tcPr>
            <w:tcW w:w="142" w:type="dxa"/>
          </w:tcPr>
          <w:p w:rsidR="004D3B4A" w:rsidRDefault="004D3B4A" w:rsidP="0000290B">
            <w:pPr>
              <w:pStyle w:val="Tabulka"/>
              <w:jc w:val="center"/>
            </w:pPr>
          </w:p>
        </w:tc>
        <w:tc>
          <w:tcPr>
            <w:tcW w:w="1701" w:type="dxa"/>
          </w:tcPr>
          <w:p w:rsidR="004D3B4A" w:rsidRDefault="004D3B4A" w:rsidP="0000290B">
            <w:pPr>
              <w:pStyle w:val="Tabulka"/>
              <w:jc w:val="center"/>
            </w:pPr>
            <w:r>
              <w:t>Ročná odpisová</w:t>
            </w:r>
          </w:p>
        </w:tc>
      </w:tr>
      <w:tr w:rsidR="004D3B4A" w:rsidTr="0000290B">
        <w:trPr>
          <w:trHeight w:val="250"/>
        </w:trPr>
        <w:tc>
          <w:tcPr>
            <w:tcW w:w="2976" w:type="dxa"/>
            <w:tcBorders>
              <w:bottom w:val="single" w:sz="4" w:space="0" w:color="auto"/>
            </w:tcBorders>
          </w:tcPr>
          <w:p w:rsidR="004D3B4A" w:rsidRDefault="004D3B4A" w:rsidP="0000290B">
            <w:pPr>
              <w:pStyle w:val="Tabulka"/>
            </w:pPr>
          </w:p>
        </w:tc>
        <w:tc>
          <w:tcPr>
            <w:tcW w:w="142" w:type="dxa"/>
            <w:tcBorders>
              <w:bottom w:val="single" w:sz="4" w:space="0" w:color="auto"/>
            </w:tcBorders>
          </w:tcPr>
          <w:p w:rsidR="004D3B4A" w:rsidRDefault="004D3B4A" w:rsidP="0000290B">
            <w:pPr>
              <w:pStyle w:val="Tabulka"/>
            </w:pPr>
          </w:p>
        </w:tc>
        <w:tc>
          <w:tcPr>
            <w:tcW w:w="1985" w:type="dxa"/>
            <w:tcBorders>
              <w:bottom w:val="single" w:sz="4" w:space="0" w:color="auto"/>
            </w:tcBorders>
          </w:tcPr>
          <w:p w:rsidR="004D3B4A" w:rsidRDefault="004D3B4A" w:rsidP="0000290B">
            <w:pPr>
              <w:pStyle w:val="Tabulka"/>
              <w:jc w:val="center"/>
            </w:pPr>
            <w:r>
              <w:t>doba používania v rokoch</w:t>
            </w:r>
          </w:p>
        </w:tc>
        <w:tc>
          <w:tcPr>
            <w:tcW w:w="141" w:type="dxa"/>
            <w:tcBorders>
              <w:bottom w:val="single" w:sz="4" w:space="0" w:color="auto"/>
            </w:tcBorders>
          </w:tcPr>
          <w:p w:rsidR="004D3B4A" w:rsidRDefault="004D3B4A" w:rsidP="0000290B">
            <w:pPr>
              <w:pStyle w:val="Tabulka"/>
              <w:jc w:val="center"/>
            </w:pPr>
          </w:p>
        </w:tc>
        <w:tc>
          <w:tcPr>
            <w:tcW w:w="1701" w:type="dxa"/>
            <w:tcBorders>
              <w:bottom w:val="single" w:sz="4" w:space="0" w:color="auto"/>
            </w:tcBorders>
          </w:tcPr>
          <w:p w:rsidR="004D3B4A" w:rsidRDefault="004D3B4A" w:rsidP="0000290B">
            <w:pPr>
              <w:pStyle w:val="Tabulka"/>
              <w:jc w:val="center"/>
            </w:pPr>
            <w:r>
              <w:t>odpisovania</w:t>
            </w:r>
          </w:p>
        </w:tc>
        <w:tc>
          <w:tcPr>
            <w:tcW w:w="142" w:type="dxa"/>
            <w:tcBorders>
              <w:bottom w:val="single" w:sz="4" w:space="0" w:color="auto"/>
            </w:tcBorders>
          </w:tcPr>
          <w:p w:rsidR="004D3B4A" w:rsidRDefault="004D3B4A" w:rsidP="0000290B">
            <w:pPr>
              <w:pStyle w:val="Tabulka"/>
              <w:jc w:val="center"/>
            </w:pPr>
          </w:p>
        </w:tc>
        <w:tc>
          <w:tcPr>
            <w:tcW w:w="1701" w:type="dxa"/>
            <w:tcBorders>
              <w:bottom w:val="single" w:sz="4" w:space="0" w:color="auto"/>
            </w:tcBorders>
          </w:tcPr>
          <w:p w:rsidR="004D3B4A" w:rsidRDefault="004D3B4A" w:rsidP="0000290B">
            <w:pPr>
              <w:pStyle w:val="Tabulka"/>
              <w:jc w:val="center"/>
            </w:pPr>
            <w:r>
              <w:t>sadzba v %</w:t>
            </w:r>
          </w:p>
        </w:tc>
      </w:tr>
      <w:tr w:rsidR="004D3B4A" w:rsidTr="0000290B">
        <w:trPr>
          <w:trHeight w:val="250"/>
        </w:trPr>
        <w:tc>
          <w:tcPr>
            <w:tcW w:w="3118" w:type="dxa"/>
            <w:gridSpan w:val="2"/>
            <w:tcBorders>
              <w:top w:val="single" w:sz="4" w:space="0" w:color="auto"/>
            </w:tcBorders>
          </w:tcPr>
          <w:p w:rsidR="004D3B4A" w:rsidRDefault="004D3B4A" w:rsidP="0000290B">
            <w:pPr>
              <w:pStyle w:val="Tabulka"/>
            </w:pPr>
            <w:r>
              <w:t>Stavby</w:t>
            </w:r>
          </w:p>
        </w:tc>
        <w:tc>
          <w:tcPr>
            <w:tcW w:w="1985" w:type="dxa"/>
            <w:tcBorders>
              <w:top w:val="single" w:sz="4" w:space="0" w:color="auto"/>
            </w:tcBorders>
          </w:tcPr>
          <w:p w:rsidR="004D3B4A" w:rsidRDefault="008500D0" w:rsidP="008500D0">
            <w:pPr>
              <w:pStyle w:val="Tabulka"/>
              <w:jc w:val="center"/>
            </w:pPr>
            <w:r>
              <w:t>2</w:t>
            </w:r>
            <w:r w:rsidR="004D3B4A">
              <w:t>0</w:t>
            </w:r>
          </w:p>
        </w:tc>
        <w:tc>
          <w:tcPr>
            <w:tcW w:w="141" w:type="dxa"/>
            <w:tcBorders>
              <w:top w:val="single" w:sz="4" w:space="0" w:color="auto"/>
            </w:tcBorders>
          </w:tcPr>
          <w:p w:rsidR="004D3B4A" w:rsidRDefault="004D3B4A" w:rsidP="0000290B">
            <w:pPr>
              <w:pStyle w:val="Tabulka"/>
              <w:jc w:val="center"/>
            </w:pPr>
          </w:p>
        </w:tc>
        <w:tc>
          <w:tcPr>
            <w:tcW w:w="1701" w:type="dxa"/>
            <w:tcBorders>
              <w:top w:val="single" w:sz="4" w:space="0" w:color="auto"/>
            </w:tcBorders>
          </w:tcPr>
          <w:p w:rsidR="004D3B4A" w:rsidRDefault="008500D0" w:rsidP="008500D0">
            <w:pPr>
              <w:pStyle w:val="Tabulka"/>
              <w:jc w:val="center"/>
            </w:pPr>
            <w:r>
              <w:t>l</w:t>
            </w:r>
            <w:r w:rsidR="004D3B4A">
              <w:t>ineárna</w:t>
            </w:r>
          </w:p>
        </w:tc>
        <w:tc>
          <w:tcPr>
            <w:tcW w:w="142" w:type="dxa"/>
            <w:tcBorders>
              <w:top w:val="single" w:sz="4" w:space="0" w:color="auto"/>
            </w:tcBorders>
          </w:tcPr>
          <w:p w:rsidR="004D3B4A" w:rsidRDefault="004D3B4A" w:rsidP="0000290B">
            <w:pPr>
              <w:pStyle w:val="Tabulka"/>
              <w:jc w:val="center"/>
            </w:pPr>
          </w:p>
        </w:tc>
        <w:tc>
          <w:tcPr>
            <w:tcW w:w="1701" w:type="dxa"/>
            <w:tcBorders>
              <w:top w:val="single" w:sz="4" w:space="0" w:color="auto"/>
            </w:tcBorders>
          </w:tcPr>
          <w:p w:rsidR="004D3B4A" w:rsidRDefault="004D3B4A" w:rsidP="0000290B">
            <w:pPr>
              <w:pStyle w:val="Tabulka"/>
              <w:jc w:val="center"/>
            </w:pPr>
            <w:r>
              <w:t>5</w:t>
            </w:r>
            <w:r w:rsidR="008500D0">
              <w:t>,0</w:t>
            </w:r>
          </w:p>
        </w:tc>
      </w:tr>
      <w:tr w:rsidR="004D3B4A" w:rsidTr="0000290B">
        <w:trPr>
          <w:trHeight w:val="250"/>
        </w:trPr>
        <w:tc>
          <w:tcPr>
            <w:tcW w:w="3118" w:type="dxa"/>
            <w:gridSpan w:val="2"/>
          </w:tcPr>
          <w:p w:rsidR="004D3B4A" w:rsidRDefault="004D3B4A" w:rsidP="0000290B">
            <w:pPr>
              <w:pStyle w:val="Tabulka"/>
            </w:pPr>
            <w:r>
              <w:t>Stroje, prístroje a zariadenia</w:t>
            </w:r>
          </w:p>
        </w:tc>
        <w:tc>
          <w:tcPr>
            <w:tcW w:w="1985" w:type="dxa"/>
          </w:tcPr>
          <w:p w:rsidR="004D3B4A" w:rsidRDefault="008500D0" w:rsidP="008500D0">
            <w:pPr>
              <w:pStyle w:val="Tabulka"/>
              <w:jc w:val="center"/>
            </w:pPr>
            <w:r>
              <w:t>6</w:t>
            </w:r>
            <w:r w:rsidR="004D3B4A">
              <w:t xml:space="preserve"> až 12</w:t>
            </w:r>
          </w:p>
        </w:tc>
        <w:tc>
          <w:tcPr>
            <w:tcW w:w="141" w:type="dxa"/>
          </w:tcPr>
          <w:p w:rsidR="004D3B4A" w:rsidRDefault="004D3B4A" w:rsidP="0000290B">
            <w:pPr>
              <w:pStyle w:val="Tabulka"/>
              <w:jc w:val="center"/>
            </w:pPr>
          </w:p>
        </w:tc>
        <w:tc>
          <w:tcPr>
            <w:tcW w:w="1701" w:type="dxa"/>
          </w:tcPr>
          <w:p w:rsidR="004D3B4A" w:rsidRDefault="008500D0" w:rsidP="008500D0">
            <w:pPr>
              <w:pStyle w:val="Tabulka"/>
              <w:jc w:val="center"/>
            </w:pPr>
            <w:r>
              <w:t>l</w:t>
            </w:r>
            <w:r w:rsidR="004D3B4A">
              <w:t>ineárna</w:t>
            </w:r>
          </w:p>
        </w:tc>
        <w:tc>
          <w:tcPr>
            <w:tcW w:w="142" w:type="dxa"/>
          </w:tcPr>
          <w:p w:rsidR="004D3B4A" w:rsidRDefault="004D3B4A" w:rsidP="0000290B">
            <w:pPr>
              <w:pStyle w:val="Tabulka"/>
              <w:jc w:val="center"/>
            </w:pPr>
          </w:p>
        </w:tc>
        <w:tc>
          <w:tcPr>
            <w:tcW w:w="1701" w:type="dxa"/>
          </w:tcPr>
          <w:p w:rsidR="004D3B4A" w:rsidRDefault="008500D0" w:rsidP="008500D0">
            <w:pPr>
              <w:pStyle w:val="Tabulka"/>
              <w:jc w:val="center"/>
            </w:pPr>
            <w:r>
              <w:t>16,7</w:t>
            </w:r>
            <w:r w:rsidR="004D3B4A">
              <w:t xml:space="preserve"> až </w:t>
            </w:r>
            <w:r>
              <w:t>8,3</w:t>
            </w:r>
          </w:p>
        </w:tc>
      </w:tr>
      <w:tr w:rsidR="004D3B4A" w:rsidTr="0000290B">
        <w:trPr>
          <w:trHeight w:val="250"/>
        </w:trPr>
        <w:tc>
          <w:tcPr>
            <w:tcW w:w="3118" w:type="dxa"/>
            <w:gridSpan w:val="2"/>
          </w:tcPr>
          <w:p w:rsidR="004D3B4A" w:rsidRDefault="004D3B4A" w:rsidP="0000290B">
            <w:pPr>
              <w:pStyle w:val="Tabulka"/>
            </w:pPr>
            <w:r>
              <w:t>Dopravné prostriedky</w:t>
            </w:r>
          </w:p>
        </w:tc>
        <w:tc>
          <w:tcPr>
            <w:tcW w:w="1985" w:type="dxa"/>
          </w:tcPr>
          <w:p w:rsidR="004D3B4A" w:rsidRDefault="004D3B4A" w:rsidP="0000290B">
            <w:pPr>
              <w:pStyle w:val="Tabulka"/>
              <w:jc w:val="center"/>
            </w:pPr>
            <w:r>
              <w:t>4 až 6</w:t>
            </w:r>
          </w:p>
        </w:tc>
        <w:tc>
          <w:tcPr>
            <w:tcW w:w="141" w:type="dxa"/>
          </w:tcPr>
          <w:p w:rsidR="004D3B4A" w:rsidRDefault="004D3B4A" w:rsidP="0000290B">
            <w:pPr>
              <w:pStyle w:val="Tabulka"/>
              <w:jc w:val="center"/>
            </w:pPr>
          </w:p>
        </w:tc>
        <w:tc>
          <w:tcPr>
            <w:tcW w:w="1701" w:type="dxa"/>
          </w:tcPr>
          <w:p w:rsidR="004D3B4A" w:rsidRDefault="008500D0" w:rsidP="0000290B">
            <w:pPr>
              <w:pStyle w:val="Tabulka"/>
              <w:jc w:val="center"/>
            </w:pPr>
            <w:r>
              <w:t>lineárna</w:t>
            </w:r>
          </w:p>
        </w:tc>
        <w:tc>
          <w:tcPr>
            <w:tcW w:w="142" w:type="dxa"/>
          </w:tcPr>
          <w:p w:rsidR="004D3B4A" w:rsidRDefault="004D3B4A" w:rsidP="0000290B">
            <w:pPr>
              <w:pStyle w:val="Tabulka"/>
              <w:jc w:val="center"/>
            </w:pPr>
          </w:p>
        </w:tc>
        <w:tc>
          <w:tcPr>
            <w:tcW w:w="1701" w:type="dxa"/>
          </w:tcPr>
          <w:p w:rsidR="004D3B4A" w:rsidRDefault="008500D0" w:rsidP="008500D0">
            <w:pPr>
              <w:pStyle w:val="Tabulka"/>
              <w:jc w:val="center"/>
            </w:pPr>
            <w:r>
              <w:t>25</w:t>
            </w:r>
            <w:r w:rsidR="004D3B4A">
              <w:t xml:space="preserve"> až </w:t>
            </w:r>
            <w:r>
              <w:t>16,7</w:t>
            </w:r>
          </w:p>
        </w:tc>
      </w:tr>
      <w:tr w:rsidR="004D3B4A" w:rsidTr="0000290B">
        <w:trPr>
          <w:trHeight w:val="250"/>
        </w:trPr>
        <w:tc>
          <w:tcPr>
            <w:tcW w:w="3118" w:type="dxa"/>
            <w:gridSpan w:val="2"/>
          </w:tcPr>
          <w:p w:rsidR="004D3B4A" w:rsidRDefault="004D3B4A" w:rsidP="0000290B">
            <w:pPr>
              <w:pStyle w:val="Tabulka"/>
            </w:pPr>
            <w:r>
              <w:t>Drobný dlhodobý hmotný majetok</w:t>
            </w:r>
          </w:p>
        </w:tc>
        <w:tc>
          <w:tcPr>
            <w:tcW w:w="1985" w:type="dxa"/>
          </w:tcPr>
          <w:p w:rsidR="004D3B4A" w:rsidRDefault="004D3B4A" w:rsidP="0000290B">
            <w:pPr>
              <w:pStyle w:val="Tabulka"/>
              <w:jc w:val="center"/>
            </w:pPr>
            <w:r>
              <w:t>rôzna</w:t>
            </w:r>
          </w:p>
        </w:tc>
        <w:tc>
          <w:tcPr>
            <w:tcW w:w="141" w:type="dxa"/>
          </w:tcPr>
          <w:p w:rsidR="004D3B4A" w:rsidRDefault="004D3B4A" w:rsidP="0000290B">
            <w:pPr>
              <w:pStyle w:val="Tabulka"/>
              <w:jc w:val="center"/>
            </w:pPr>
          </w:p>
        </w:tc>
        <w:tc>
          <w:tcPr>
            <w:tcW w:w="1701" w:type="dxa"/>
          </w:tcPr>
          <w:p w:rsidR="004D3B4A" w:rsidRDefault="004D3B4A" w:rsidP="0000290B">
            <w:pPr>
              <w:pStyle w:val="Tabulka"/>
              <w:jc w:val="center"/>
            </w:pPr>
            <w:r>
              <w:t>jednorazový odpis</w:t>
            </w:r>
          </w:p>
        </w:tc>
        <w:tc>
          <w:tcPr>
            <w:tcW w:w="142" w:type="dxa"/>
          </w:tcPr>
          <w:p w:rsidR="004D3B4A" w:rsidRDefault="004D3B4A" w:rsidP="0000290B">
            <w:pPr>
              <w:pStyle w:val="Tabulka"/>
              <w:jc w:val="center"/>
            </w:pPr>
          </w:p>
        </w:tc>
        <w:tc>
          <w:tcPr>
            <w:tcW w:w="1701" w:type="dxa"/>
          </w:tcPr>
          <w:p w:rsidR="004D3B4A" w:rsidRDefault="004D3B4A" w:rsidP="0000290B">
            <w:pPr>
              <w:pStyle w:val="Tabulka"/>
              <w:jc w:val="center"/>
            </w:pPr>
            <w:r>
              <w:t>100</w:t>
            </w:r>
          </w:p>
        </w:tc>
      </w:tr>
    </w:tbl>
    <w:p w:rsidR="00887683" w:rsidRDefault="00887683" w:rsidP="00251BF2">
      <w:pPr>
        <w:pStyle w:val="Pismenka"/>
        <w:numPr>
          <w:ilvl w:val="0"/>
          <w:numId w:val="0"/>
        </w:numPr>
      </w:pPr>
    </w:p>
    <w:p w:rsidR="004D3B4A" w:rsidRDefault="004D3B4A" w:rsidP="00251BF2">
      <w:pPr>
        <w:pStyle w:val="Pismenka"/>
        <w:tabs>
          <w:tab w:val="clear" w:pos="426"/>
        </w:tabs>
        <w:ind w:left="426"/>
      </w:pPr>
      <w:r>
        <w:t>Cenné papiere a podiely</w:t>
      </w:r>
    </w:p>
    <w:p w:rsidR="004D3B4A" w:rsidRDefault="004D3B4A" w:rsidP="004D3B4A">
      <w:pPr>
        <w:pStyle w:val="Zkladntext"/>
      </w:pPr>
      <w:r>
        <w:t>Cenné papiere a podiely sa oceňujú obstarávacími cenami vrátane nákladov súvisiacich s</w:t>
      </w:r>
      <w:r w:rsidR="00577BFD">
        <w:t xml:space="preserve"> ich </w:t>
      </w:r>
      <w:r>
        <w:t>obstaraním. Od obstarávacej ceny je odpočítané zníženie hodnoty cenných papierov a</w:t>
      </w:r>
      <w:r w:rsidR="008500D0">
        <w:t> </w:t>
      </w:r>
      <w:r>
        <w:t>podielov</w:t>
      </w:r>
      <w:r w:rsidR="008500D0">
        <w:t xml:space="preserve"> na základe ich tržného alebo znaleckého ocenenia</w:t>
      </w:r>
      <w:r>
        <w:t xml:space="preserve">. </w:t>
      </w:r>
    </w:p>
    <w:p w:rsidR="004D3B4A" w:rsidRDefault="004D3B4A" w:rsidP="004D3B4A">
      <w:pPr>
        <w:pStyle w:val="Zkladntext"/>
      </w:pPr>
    </w:p>
    <w:p w:rsidR="004D3B4A" w:rsidRDefault="004D3B4A" w:rsidP="00251BF2">
      <w:pPr>
        <w:pStyle w:val="Pismenka"/>
        <w:tabs>
          <w:tab w:val="clear" w:pos="426"/>
        </w:tabs>
        <w:ind w:left="426"/>
      </w:pPr>
      <w:r>
        <w:t xml:space="preserve">Zásoby </w:t>
      </w:r>
    </w:p>
    <w:p w:rsidR="004D3B4A" w:rsidRDefault="004D3B4A" w:rsidP="004D3B4A">
      <w:pPr>
        <w:pStyle w:val="Zkladntext"/>
      </w:pPr>
      <w:r>
        <w:t xml:space="preserve">Zásoby sa oceňujú </w:t>
      </w:r>
      <w:r w:rsidR="008500D0">
        <w:t xml:space="preserve">priemernou </w:t>
      </w:r>
      <w:r>
        <w:t>obstarávacou cenou (nakupované zásoby) alebo vlastnými nákladmi (zásoby vytvorené vlastnou činnosťou) alebo čistou realizačnou hodnotou.</w:t>
      </w:r>
    </w:p>
    <w:p w:rsidR="004D3B4A" w:rsidRDefault="004D3B4A" w:rsidP="004D3B4A">
      <w:pPr>
        <w:pStyle w:val="Zkladntext"/>
      </w:pPr>
      <w:r>
        <w:t>Obstarávacia cena zahŕňa cenu zásob a náklady súvisiace s obstaraním (clo, prepravu, poistné, provízie, skonto a pod.). Úroky z cudzích zdrojov nie sú súčasťou obstarávacej ceny. Nakupované zásoby sa oceňujú váženým aritmetickým priemerom z obstarávacích cien.</w:t>
      </w:r>
    </w:p>
    <w:p w:rsidR="004D3B4A" w:rsidRDefault="004D3B4A" w:rsidP="004D3B4A">
      <w:pPr>
        <w:pStyle w:val="Zkladntext"/>
      </w:pPr>
    </w:p>
    <w:p w:rsidR="004D3B4A" w:rsidRDefault="004D3B4A" w:rsidP="004D3B4A">
      <w:pPr>
        <w:pStyle w:val="Zkladntext"/>
      </w:pPr>
      <w:r>
        <w:t>Vlastné náklady zahŕňajú priame náklady (priamy materiál, priame mzdy a ostatné priame náklady) a časť nepriamych nákladov bezprostredne súvisiacich s vytvorením zásob vlastnou činnosťou (výrobná réžia). Správna réžia a odbytové náklady nie sú súčasťou vlastných nákladov. Súčasťou vlastných nákladov nie sú úroky z cudzích zdrojov.</w:t>
      </w:r>
    </w:p>
    <w:p w:rsidR="004D3B4A" w:rsidRDefault="004D3B4A" w:rsidP="004D3B4A">
      <w:pPr>
        <w:pStyle w:val="Zkladntext"/>
      </w:pPr>
    </w:p>
    <w:p w:rsidR="004D3B4A" w:rsidRDefault="004D3B4A" w:rsidP="004D3B4A">
      <w:pPr>
        <w:pStyle w:val="Zkladntext"/>
      </w:pPr>
      <w:r>
        <w:t xml:space="preserve">Čistá realizačná hodnota je predpokladaná predajná cena znížená o predpokladané náklady na ich dokončenie a o predpokladané náklady súvisiace s ich predajom.  </w:t>
      </w:r>
    </w:p>
    <w:p w:rsidR="004D3B4A" w:rsidRDefault="004D3B4A" w:rsidP="004D3B4A">
      <w:pPr>
        <w:pStyle w:val="Zkladntext"/>
      </w:pPr>
    </w:p>
    <w:p w:rsidR="004D3B4A" w:rsidRDefault="004D3B4A" w:rsidP="004D3B4A">
      <w:pPr>
        <w:pStyle w:val="Zkladntext"/>
      </w:pPr>
      <w:r>
        <w:t>Zníženie hodnoty zásob sa upravuje vytvorením opravnej položky.</w:t>
      </w:r>
    </w:p>
    <w:p w:rsidR="004D3B4A" w:rsidRDefault="004D3B4A" w:rsidP="004D3B4A">
      <w:pPr>
        <w:pStyle w:val="Zkladntext"/>
      </w:pPr>
    </w:p>
    <w:p w:rsidR="004D3B4A" w:rsidRPr="007752E5" w:rsidRDefault="004D3B4A" w:rsidP="00251BF2">
      <w:pPr>
        <w:pStyle w:val="Pismenka"/>
        <w:tabs>
          <w:tab w:val="clear" w:pos="426"/>
        </w:tabs>
        <w:ind w:left="426"/>
      </w:pPr>
      <w:r w:rsidRPr="007752E5">
        <w:t>Zákazková výroba</w:t>
      </w:r>
    </w:p>
    <w:p w:rsidR="004D3B4A" w:rsidRPr="007752E5" w:rsidRDefault="004D3B4A" w:rsidP="004D3B4A">
      <w:pPr>
        <w:pStyle w:val="Zkladntext"/>
      </w:pPr>
      <w:r w:rsidRPr="007752E5">
        <w:t xml:space="preserve">Zákazková výroba sa vykazuje použitím metódy stupňa dokončenia zákazky (angl. </w:t>
      </w:r>
      <w:proofErr w:type="spellStart"/>
      <w:r w:rsidRPr="007752E5">
        <w:t>percentage-of-completion-method</w:t>
      </w:r>
      <w:proofErr w:type="spellEnd"/>
      <w:r w:rsidRPr="007752E5">
        <w:t>).</w:t>
      </w:r>
    </w:p>
    <w:p w:rsidR="00EB1BB0" w:rsidRPr="007752E5" w:rsidRDefault="00EB1BB0" w:rsidP="00251BF2">
      <w:pPr>
        <w:pStyle w:val="Pismenka"/>
        <w:numPr>
          <w:ilvl w:val="0"/>
          <w:numId w:val="0"/>
        </w:numPr>
        <w:rPr>
          <w:b w:val="0"/>
        </w:rPr>
      </w:pPr>
    </w:p>
    <w:p w:rsidR="00EB1BB0" w:rsidRPr="007752E5" w:rsidRDefault="00EB1BB0" w:rsidP="00251BF2">
      <w:pPr>
        <w:pStyle w:val="Pismenka"/>
        <w:numPr>
          <w:ilvl w:val="0"/>
          <w:numId w:val="0"/>
        </w:numPr>
        <w:rPr>
          <w:b w:val="0"/>
        </w:rPr>
      </w:pPr>
    </w:p>
    <w:p w:rsidR="004D3B4A" w:rsidRPr="007752E5" w:rsidRDefault="004D3B4A" w:rsidP="00251BF2">
      <w:pPr>
        <w:pStyle w:val="Pismenka"/>
        <w:tabs>
          <w:tab w:val="clear" w:pos="426"/>
        </w:tabs>
        <w:ind w:left="426"/>
      </w:pPr>
      <w:r w:rsidRPr="007752E5">
        <w:t>Zákazková výstavba nehnuteľnost</w:t>
      </w:r>
      <w:r w:rsidR="00777324" w:rsidRPr="007752E5">
        <w:t>i</w:t>
      </w:r>
    </w:p>
    <w:p w:rsidR="00777324" w:rsidRPr="007752E5" w:rsidRDefault="00777324" w:rsidP="004D3B4A">
      <w:pPr>
        <w:pStyle w:val="Zkladntext"/>
      </w:pPr>
    </w:p>
    <w:p w:rsidR="00777324" w:rsidRPr="007752E5" w:rsidRDefault="00A9048F" w:rsidP="004D3B4A">
      <w:pPr>
        <w:pStyle w:val="Zkladntext"/>
        <w:rPr>
          <w:b/>
          <w:i/>
        </w:rPr>
      </w:pPr>
      <w:r w:rsidRPr="007752E5">
        <w:rPr>
          <w:b/>
          <w:i/>
        </w:rPr>
        <w:t>Zákazková výstavba nehnuteľnosti – priebežný transfer</w:t>
      </w:r>
    </w:p>
    <w:p w:rsidR="004D3B4A" w:rsidRPr="007752E5" w:rsidRDefault="00777324" w:rsidP="004D3B4A">
      <w:pPr>
        <w:pStyle w:val="Zkladntext"/>
      </w:pPr>
      <w:r w:rsidRPr="007752E5">
        <w:t>Zákazková</w:t>
      </w:r>
      <w:r w:rsidR="004D3B4A" w:rsidRPr="007752E5">
        <w:t xml:space="preserve"> výstavb</w:t>
      </w:r>
      <w:r w:rsidRPr="007752E5">
        <w:t>a</w:t>
      </w:r>
      <w:r w:rsidR="004D3B4A" w:rsidRPr="007752E5">
        <w:t xml:space="preserve"> nehnuteľnosti určen</w:t>
      </w:r>
      <w:r w:rsidRPr="007752E5">
        <w:t>ej</w:t>
      </w:r>
      <w:r w:rsidR="004D3B4A" w:rsidRPr="007752E5">
        <w:t xml:space="preserve"> na predaj sa</w:t>
      </w:r>
      <w:r w:rsidRPr="007752E5">
        <w:t xml:space="preserve"> vykazuje</w:t>
      </w:r>
      <w:r w:rsidR="004D3B4A" w:rsidRPr="007752E5">
        <w:t xml:space="preserve"> podľa metódy stupňa dokončenia. </w:t>
      </w:r>
    </w:p>
    <w:p w:rsidR="00777324" w:rsidRPr="007752E5" w:rsidRDefault="00777324" w:rsidP="004D3B4A">
      <w:pPr>
        <w:pStyle w:val="Zkladntext"/>
      </w:pPr>
    </w:p>
    <w:p w:rsidR="00777324" w:rsidRPr="007752E5" w:rsidRDefault="00A9048F" w:rsidP="00777324">
      <w:pPr>
        <w:pStyle w:val="Zkladntext"/>
        <w:rPr>
          <w:b/>
          <w:i/>
        </w:rPr>
      </w:pPr>
      <w:r w:rsidRPr="007752E5">
        <w:rPr>
          <w:b/>
          <w:i/>
        </w:rPr>
        <w:t>Zákazková výstavba nehnuteľnosti – ostatn</w:t>
      </w:r>
      <w:r w:rsidR="00260C4C" w:rsidRPr="007752E5">
        <w:rPr>
          <w:b/>
          <w:i/>
        </w:rPr>
        <w:t>á</w:t>
      </w:r>
      <w:r w:rsidRPr="007752E5">
        <w:rPr>
          <w:b/>
          <w:i/>
        </w:rPr>
        <w:t xml:space="preserve"> (nie priebežný transfer)</w:t>
      </w:r>
    </w:p>
    <w:p w:rsidR="00777324" w:rsidRPr="00777324" w:rsidRDefault="00777324" w:rsidP="004D3B4A">
      <w:pPr>
        <w:pStyle w:val="Zkladntext"/>
      </w:pPr>
      <w:r w:rsidRPr="007752E5">
        <w:t>Zá</w:t>
      </w:r>
      <w:r w:rsidR="002F5513" w:rsidRPr="007752E5">
        <w:t>kazková výstavba nehnuteľnosti určenej na predaj – ostatn</w:t>
      </w:r>
      <w:r w:rsidR="00260C4C" w:rsidRPr="007752E5">
        <w:t>á</w:t>
      </w:r>
      <w:r w:rsidR="002F5513" w:rsidRPr="007752E5">
        <w:t xml:space="preserve"> (nie priebežný transfer</w:t>
      </w:r>
      <w:r w:rsidR="006D3D0B" w:rsidRPr="007752E5">
        <w:t>) sa vykazuje metódou tzv. nulového zisku, t.</w:t>
      </w:r>
      <w:r w:rsidR="00CF2FC7" w:rsidRPr="007752E5">
        <w:t xml:space="preserve"> </w:t>
      </w:r>
      <w:r w:rsidR="006D3D0B" w:rsidRPr="007752E5">
        <w:t>j. zisk sa vykáže pri predaji nehnuteľnosti.</w:t>
      </w:r>
    </w:p>
    <w:p w:rsidR="004D3B4A" w:rsidRDefault="004D3B4A" w:rsidP="00251BF2">
      <w:pPr>
        <w:pStyle w:val="Pismenka"/>
        <w:numPr>
          <w:ilvl w:val="0"/>
          <w:numId w:val="0"/>
        </w:numPr>
        <w:rPr>
          <w:b w:val="0"/>
        </w:rPr>
      </w:pPr>
    </w:p>
    <w:p w:rsidR="004D3B4A" w:rsidRDefault="004D3B4A" w:rsidP="00251BF2">
      <w:pPr>
        <w:pStyle w:val="Pismenka"/>
        <w:tabs>
          <w:tab w:val="clear" w:pos="426"/>
        </w:tabs>
        <w:ind w:left="426"/>
      </w:pPr>
      <w:r>
        <w:t>Pohľadávky</w:t>
      </w:r>
    </w:p>
    <w:p w:rsidR="004D3B4A" w:rsidRDefault="004D3B4A" w:rsidP="004D3B4A">
      <w:pPr>
        <w:pStyle w:val="Zkladntext"/>
      </w:pPr>
      <w:r>
        <w:t>Pohľadávky pri ich vzniku sa oceňujú ich menovitou hodnotou; postúpené pohľadávky a pohľadávky nadobudnuté vkladom do základného imania sa oceňujú obstarávacou cenou vrátane nákladov súvisiacich s obstaraním. Toto ocenenie sa znižuje o pochybné a nevymožiteľné pohľadávky.</w:t>
      </w:r>
    </w:p>
    <w:p w:rsidR="004D3B4A" w:rsidRDefault="004D3B4A" w:rsidP="004D3B4A">
      <w:pPr>
        <w:pStyle w:val="Zkladntext"/>
      </w:pPr>
    </w:p>
    <w:p w:rsidR="004D3B4A" w:rsidRDefault="004D3B4A" w:rsidP="00251BF2">
      <w:pPr>
        <w:pStyle w:val="Pismenka"/>
        <w:tabs>
          <w:tab w:val="clear" w:pos="426"/>
        </w:tabs>
        <w:ind w:left="426"/>
      </w:pPr>
      <w:r>
        <w:t>Peňažné prostriedky a ceniny</w:t>
      </w:r>
    </w:p>
    <w:p w:rsidR="004D3B4A" w:rsidRDefault="004D3B4A" w:rsidP="004D3B4A">
      <w:pPr>
        <w:pStyle w:val="Zkladntext"/>
      </w:pPr>
      <w:r>
        <w:t>Peňažné prostriedky a ceniny sa oceňujú ich menovitou hodnotou. Zníženie ich hodnoty sa vyjadruje opravnou položkou.</w:t>
      </w:r>
    </w:p>
    <w:p w:rsidR="004D3B4A" w:rsidRDefault="004D3B4A" w:rsidP="004D3B4A">
      <w:pPr>
        <w:pStyle w:val="Zkladntext"/>
      </w:pPr>
    </w:p>
    <w:p w:rsidR="009E65D7" w:rsidRDefault="009E65D7" w:rsidP="004D3B4A">
      <w:pPr>
        <w:pStyle w:val="Zkladntext"/>
      </w:pPr>
    </w:p>
    <w:p w:rsidR="004D3B4A" w:rsidRDefault="004D3B4A" w:rsidP="00251BF2">
      <w:pPr>
        <w:pStyle w:val="Pismenka"/>
        <w:tabs>
          <w:tab w:val="clear" w:pos="426"/>
        </w:tabs>
        <w:ind w:left="426"/>
      </w:pPr>
      <w:r>
        <w:t>Náklady budúcich období a príjmy budúcich období</w:t>
      </w:r>
    </w:p>
    <w:p w:rsidR="004D3B4A" w:rsidRDefault="004D3B4A" w:rsidP="004D3B4A">
      <w:pPr>
        <w:pStyle w:val="Zkladntext"/>
      </w:pPr>
      <w:r>
        <w:t>Náklady budúcich období a príjmy budúcich období sa vykazujú vo výške, ktorá je potrebná na dodržanie zásady vecnej a časovej súvislosti s účtovným obdobím.</w:t>
      </w:r>
    </w:p>
    <w:p w:rsidR="004D3B4A" w:rsidRDefault="004D3B4A" w:rsidP="004D3B4A">
      <w:pPr>
        <w:pStyle w:val="Zkladntext"/>
      </w:pPr>
    </w:p>
    <w:p w:rsidR="004D3B4A" w:rsidRDefault="004D3B4A" w:rsidP="00251BF2">
      <w:pPr>
        <w:pStyle w:val="Pismenka"/>
        <w:tabs>
          <w:tab w:val="clear" w:pos="426"/>
        </w:tabs>
        <w:ind w:left="426"/>
      </w:pPr>
      <w:r>
        <w:t>Rezervy</w:t>
      </w:r>
    </w:p>
    <w:p w:rsidR="004D3B4A" w:rsidRDefault="004D3B4A" w:rsidP="004D3B4A">
      <w:pPr>
        <w:pStyle w:val="Zkladntext"/>
      </w:pPr>
      <w:r>
        <w:t xml:space="preserve">Rezervy sú záväzky s neurčitým časovým vymedzením alebo výškou; tvoria sa na krytie </w:t>
      </w:r>
      <w:r w:rsidR="00EB1BB0">
        <w:t xml:space="preserve">predpokladaných </w:t>
      </w:r>
      <w:r>
        <w:t>známych rizík alebo strát z podnikania. Oceňujú sa v očakávanej výške záväzku.</w:t>
      </w:r>
    </w:p>
    <w:p w:rsidR="004D3B4A" w:rsidRDefault="004D3B4A" w:rsidP="00251BF2">
      <w:pPr>
        <w:pStyle w:val="Pismenka"/>
        <w:numPr>
          <w:ilvl w:val="0"/>
          <w:numId w:val="0"/>
        </w:numPr>
        <w:ind w:left="360"/>
      </w:pPr>
    </w:p>
    <w:p w:rsidR="009E65D7" w:rsidRDefault="009E65D7" w:rsidP="00251BF2">
      <w:pPr>
        <w:pStyle w:val="Pismenka"/>
        <w:numPr>
          <w:ilvl w:val="0"/>
          <w:numId w:val="0"/>
        </w:numPr>
        <w:ind w:left="360"/>
      </w:pPr>
    </w:p>
    <w:p w:rsidR="004D3B4A" w:rsidRDefault="004D3B4A" w:rsidP="00251BF2">
      <w:pPr>
        <w:pStyle w:val="Pismenka"/>
        <w:tabs>
          <w:tab w:val="clear" w:pos="426"/>
        </w:tabs>
        <w:ind w:left="426"/>
      </w:pPr>
      <w:r>
        <w:lastRenderedPageBreak/>
        <w:t>Záväzky</w:t>
      </w:r>
    </w:p>
    <w:p w:rsidR="004D3B4A" w:rsidRDefault="004D3B4A" w:rsidP="004D3B4A">
      <w:pPr>
        <w:pStyle w:val="Zkladntext"/>
        <w:rPr>
          <w:sz w:val="24"/>
        </w:rPr>
      </w:pPr>
      <w:r>
        <w:t xml:space="preserve">Záväzky pri ich vzniku sa oceňujú menovitou hodnotou. Záväzky pri ich prevzatí sa oceňujú obstarávacou cenou. Ak sa pri inventarizácii zistí, že suma záväzkov je iná ako ich výška v účtovníctve, uvedú sa záväzky v účtovníctve a v účtovnej závierke v tomto zistenom ocenení. </w:t>
      </w:r>
    </w:p>
    <w:p w:rsidR="004D3B4A" w:rsidRDefault="004D3B4A" w:rsidP="00251BF2">
      <w:pPr>
        <w:pStyle w:val="Pismenka"/>
        <w:numPr>
          <w:ilvl w:val="0"/>
          <w:numId w:val="0"/>
        </w:numPr>
        <w:ind w:left="360"/>
      </w:pPr>
    </w:p>
    <w:p w:rsidR="004D3B4A" w:rsidRDefault="004D3B4A" w:rsidP="00251BF2">
      <w:pPr>
        <w:pStyle w:val="Pismenka"/>
        <w:tabs>
          <w:tab w:val="clear" w:pos="426"/>
        </w:tabs>
        <w:ind w:left="426"/>
      </w:pPr>
      <w:r>
        <w:t>Odložené dane</w:t>
      </w:r>
    </w:p>
    <w:p w:rsidR="004D3B4A" w:rsidRDefault="004D3B4A" w:rsidP="004D3B4A">
      <w:pPr>
        <w:pStyle w:val="Zkladntext"/>
      </w:pPr>
      <w:r>
        <w:t xml:space="preserve">Odložené dane (odložená daňová pohľadávka a odložený daňový záväzok) sa vzťahujú na: </w:t>
      </w:r>
    </w:p>
    <w:p w:rsidR="004D3B4A" w:rsidRDefault="004D3B4A" w:rsidP="004D3B4A">
      <w:pPr>
        <w:pStyle w:val="Zkladntext"/>
        <w:numPr>
          <w:ilvl w:val="0"/>
          <w:numId w:val="8"/>
        </w:numPr>
      </w:pPr>
      <w:r>
        <w:t>dočasné rozdiely medzi účtovnou hodnotou majetku a účtovnou hodnotou záväzkov vykázanou v súvahe a ich daňovou základňou,</w:t>
      </w:r>
    </w:p>
    <w:p w:rsidR="004D3B4A" w:rsidRDefault="004D3B4A" w:rsidP="004D3B4A">
      <w:pPr>
        <w:pStyle w:val="Zkladntext"/>
        <w:numPr>
          <w:ilvl w:val="0"/>
          <w:numId w:val="8"/>
        </w:numPr>
      </w:pPr>
      <w:r>
        <w:t>možnosť umorovať daňovú stratu v budúcnosti, ktorou sa rozumie možnosť odpočítať daňovú stratu od základu dane v budúcnosti,</w:t>
      </w:r>
    </w:p>
    <w:p w:rsidR="004D3B4A" w:rsidRDefault="004D3B4A" w:rsidP="004D3B4A">
      <w:pPr>
        <w:pStyle w:val="Zkladntext"/>
        <w:numPr>
          <w:ilvl w:val="0"/>
          <w:numId w:val="8"/>
        </w:numPr>
      </w:pPr>
      <w:r>
        <w:t>možnosť previesť nevyužité daňové odpočty a iné daňové nároky do budúcich období.</w:t>
      </w:r>
    </w:p>
    <w:p w:rsidR="004D3B4A" w:rsidRDefault="004D3B4A" w:rsidP="004D3B4A">
      <w:pPr>
        <w:pStyle w:val="Zkladntext"/>
      </w:pPr>
    </w:p>
    <w:p w:rsidR="004D3B4A" w:rsidRDefault="004D3B4A" w:rsidP="00251BF2">
      <w:pPr>
        <w:pStyle w:val="Pismenka"/>
        <w:tabs>
          <w:tab w:val="clear" w:pos="426"/>
        </w:tabs>
        <w:ind w:left="426"/>
      </w:pPr>
      <w:r>
        <w:t>Výdavky budúcich období a výnosy budúcich období</w:t>
      </w:r>
    </w:p>
    <w:p w:rsidR="004D3B4A" w:rsidRDefault="004D3B4A" w:rsidP="004D3B4A">
      <w:pPr>
        <w:pStyle w:val="Zkladntext"/>
      </w:pPr>
      <w:r>
        <w:t>Výdavky budúcich období a výnosy budúcich období sa vykazujú vo výške, ktorá je potrebná na dodržanie zásady vecnej a časovej súvislosti s účtovným obdobím.</w:t>
      </w:r>
    </w:p>
    <w:p w:rsidR="004007CA" w:rsidRDefault="004007CA" w:rsidP="004D3B4A">
      <w:pPr>
        <w:pStyle w:val="Zkladntext"/>
      </w:pPr>
    </w:p>
    <w:p w:rsidR="001A5B77" w:rsidRDefault="001A5B77" w:rsidP="004D3B4A">
      <w:pPr>
        <w:pStyle w:val="Zkladntext"/>
      </w:pPr>
    </w:p>
    <w:p w:rsidR="004D3B4A" w:rsidRPr="007752E5" w:rsidRDefault="004D3B4A" w:rsidP="00251BF2">
      <w:pPr>
        <w:pStyle w:val="Pismenka"/>
        <w:tabs>
          <w:tab w:val="clear" w:pos="426"/>
        </w:tabs>
        <w:ind w:left="426"/>
      </w:pPr>
      <w:r w:rsidRPr="007752E5">
        <w:t>Emisné kvóty</w:t>
      </w:r>
    </w:p>
    <w:p w:rsidR="004D3B4A" w:rsidRPr="007752E5" w:rsidRDefault="004D3B4A" w:rsidP="004D3B4A">
      <w:pPr>
        <w:pStyle w:val="Zkladntext"/>
      </w:pPr>
      <w:r w:rsidRPr="007752E5">
        <w:t xml:space="preserve">Bezodplatne pripísaný proporčný podiel emisných kvót v ocenení reprodukčnou obstarávacou cenou sa účtuje v prospech výnosov budúcich období. </w:t>
      </w:r>
    </w:p>
    <w:p w:rsidR="004D3B4A" w:rsidRPr="007752E5" w:rsidRDefault="004D3B4A" w:rsidP="004D3B4A">
      <w:pPr>
        <w:pStyle w:val="Zkladntext"/>
      </w:pPr>
    </w:p>
    <w:p w:rsidR="004D3B4A" w:rsidRDefault="004D3B4A" w:rsidP="004D3B4A">
      <w:pPr>
        <w:pStyle w:val="Zkladntext"/>
      </w:pPr>
      <w:r w:rsidRPr="007752E5">
        <w:t>Zúčtovanie výnosov budúcich období sa uskutočňuje v časovej a vecnej súvislosti s použitím bezodplatne pripísaných emisných kvót z dôvodu ich predaja alebo tvorby rezervy alebo splnenia povinnosti odovzdania emisných kvót.</w:t>
      </w:r>
    </w:p>
    <w:p w:rsidR="004D3B4A" w:rsidRDefault="004D3B4A" w:rsidP="004D3B4A">
      <w:pPr>
        <w:pStyle w:val="Zkladntext"/>
        <w:rPr>
          <w:sz w:val="16"/>
          <w:szCs w:val="16"/>
        </w:rPr>
      </w:pPr>
    </w:p>
    <w:p w:rsidR="001A5B77" w:rsidRDefault="001A5B77" w:rsidP="004D3B4A">
      <w:pPr>
        <w:pStyle w:val="Zkladntext"/>
        <w:rPr>
          <w:sz w:val="16"/>
          <w:szCs w:val="16"/>
        </w:rPr>
      </w:pPr>
    </w:p>
    <w:p w:rsidR="004D3B4A" w:rsidRPr="00E9297E" w:rsidRDefault="004D3B4A" w:rsidP="00251BF2">
      <w:pPr>
        <w:pStyle w:val="Pismenka"/>
        <w:tabs>
          <w:tab w:val="clear" w:pos="426"/>
        </w:tabs>
        <w:ind w:left="426"/>
      </w:pPr>
      <w:r w:rsidRPr="00E9297E">
        <w:t>Dotácie zo štátneho rozpočtu</w:t>
      </w:r>
    </w:p>
    <w:p w:rsidR="004D3B4A" w:rsidRPr="00E9297E" w:rsidRDefault="004D3B4A" w:rsidP="004D3B4A">
      <w:pPr>
        <w:ind w:left="450"/>
        <w:jc w:val="both"/>
        <w:rPr>
          <w:sz w:val="18"/>
        </w:rPr>
      </w:pPr>
      <w:r w:rsidRPr="00E9297E">
        <w:rPr>
          <w:sz w:val="18"/>
        </w:rPr>
        <w:t xml:space="preserve">O nároku na dotácie zo štátneho rozpočtu sa účtuje, ak je takmer isté, že na základe splnených podmienok na poskytnutie dotácie sa </w:t>
      </w:r>
      <w:r w:rsidR="00EB1BB0" w:rsidRPr="00E9297E">
        <w:rPr>
          <w:sz w:val="18"/>
        </w:rPr>
        <w:t>s</w:t>
      </w:r>
      <w:r w:rsidRPr="00E9297E">
        <w:rPr>
          <w:sz w:val="18"/>
        </w:rPr>
        <w:t>poločnosti daná dotácia poskytne.</w:t>
      </w:r>
    </w:p>
    <w:p w:rsidR="004D3B4A" w:rsidRPr="00E9297E" w:rsidRDefault="004D3B4A" w:rsidP="004D3B4A">
      <w:pPr>
        <w:ind w:left="450"/>
        <w:jc w:val="both"/>
        <w:rPr>
          <w:sz w:val="18"/>
        </w:rPr>
      </w:pPr>
    </w:p>
    <w:p w:rsidR="004D3B4A" w:rsidRPr="00E9297E" w:rsidRDefault="004D3B4A" w:rsidP="004D3B4A">
      <w:pPr>
        <w:ind w:left="450"/>
        <w:jc w:val="both"/>
        <w:rPr>
          <w:sz w:val="18"/>
        </w:rPr>
      </w:pPr>
      <w:r w:rsidRPr="00E9297E">
        <w:rPr>
          <w:sz w:val="18"/>
        </w:rPr>
        <w:t xml:space="preserve">Dotácie na hospodársku činnosť </w:t>
      </w:r>
      <w:r w:rsidR="00EB1BB0" w:rsidRPr="00E9297E">
        <w:rPr>
          <w:sz w:val="18"/>
        </w:rPr>
        <w:t>s</w:t>
      </w:r>
      <w:r w:rsidRPr="00E9297E">
        <w:rPr>
          <w:sz w:val="18"/>
        </w:rPr>
        <w:t>poločnosti sa najskôr vykazujú ako výnosy budúcich období a do výkazu ziskov a strát sa rozpúšťajú ako výnosy z hospodárskej činnosti v časovej a vecnej súvislosti s vynaložením nákladov na príslušný účel.</w:t>
      </w:r>
    </w:p>
    <w:p w:rsidR="004D3B4A" w:rsidRPr="00E9297E" w:rsidRDefault="004D3B4A" w:rsidP="004D3B4A">
      <w:pPr>
        <w:ind w:left="450"/>
        <w:jc w:val="both"/>
        <w:rPr>
          <w:sz w:val="18"/>
        </w:rPr>
      </w:pPr>
    </w:p>
    <w:p w:rsidR="004D3B4A" w:rsidRPr="00E92175" w:rsidRDefault="004D3B4A" w:rsidP="004D3B4A">
      <w:pPr>
        <w:ind w:left="450"/>
        <w:jc w:val="both"/>
        <w:rPr>
          <w:sz w:val="18"/>
        </w:rPr>
      </w:pPr>
      <w:r w:rsidRPr="00E9297E">
        <w:rPr>
          <w:sz w:val="18"/>
        </w:rPr>
        <w:t xml:space="preserve">Dotácie na obstaranie dlhodobého hmotného majetku a dlhodobého nehmotného majetku sa najskôr vykazujú ako výnosy budúcich období a do výkazu ziskov a strát sa rozpúšťajú v časovej a vecnej súvislosti so zaúčtovaním odpisov </w:t>
      </w:r>
      <w:r w:rsidR="00CF2FC7" w:rsidRPr="00E9297E">
        <w:rPr>
          <w:sz w:val="18"/>
        </w:rPr>
        <w:br/>
      </w:r>
      <w:r w:rsidRPr="00E9297E">
        <w:rPr>
          <w:sz w:val="18"/>
        </w:rPr>
        <w:t>z tohto dlhodobého majetku.</w:t>
      </w:r>
      <w:r w:rsidRPr="00E92175">
        <w:rPr>
          <w:sz w:val="18"/>
        </w:rPr>
        <w:t xml:space="preserve"> </w:t>
      </w:r>
    </w:p>
    <w:p w:rsidR="004D3B4A" w:rsidRDefault="004D3B4A" w:rsidP="004D3B4A">
      <w:pPr>
        <w:pStyle w:val="Zkladntext"/>
        <w:rPr>
          <w:sz w:val="16"/>
          <w:szCs w:val="16"/>
        </w:rPr>
      </w:pPr>
    </w:p>
    <w:p w:rsidR="001A5B77" w:rsidRPr="00B1412B" w:rsidRDefault="001A5B77" w:rsidP="004D3B4A">
      <w:pPr>
        <w:pStyle w:val="Zkladntext"/>
        <w:rPr>
          <w:sz w:val="16"/>
          <w:szCs w:val="16"/>
        </w:rPr>
      </w:pPr>
    </w:p>
    <w:p w:rsidR="004D3B4A" w:rsidRDefault="004D3B4A" w:rsidP="00251BF2">
      <w:pPr>
        <w:pStyle w:val="Pismenka"/>
        <w:tabs>
          <w:tab w:val="clear" w:pos="426"/>
        </w:tabs>
        <w:ind w:left="426"/>
      </w:pPr>
      <w:r>
        <w:t>Prenájom (lízing)</w:t>
      </w:r>
    </w:p>
    <w:p w:rsidR="004D3B4A" w:rsidRDefault="004D3B4A" w:rsidP="004D3B4A">
      <w:pPr>
        <w:pStyle w:val="Zkladntext"/>
      </w:pPr>
      <w:r>
        <w:t>Operatívny prenájom. Majetok prenajatý na základe operatívneho prenájmu vykazuje ako svoj majetok jeho vlastník, nie nájomca.</w:t>
      </w:r>
    </w:p>
    <w:p w:rsidR="00AB6B04" w:rsidRDefault="00AB6B04" w:rsidP="004D3B4A">
      <w:pPr>
        <w:pStyle w:val="Zkladntext"/>
      </w:pPr>
    </w:p>
    <w:p w:rsidR="004D3B4A" w:rsidRDefault="004D3B4A" w:rsidP="004D3B4A">
      <w:pPr>
        <w:pStyle w:val="Zkladntext"/>
      </w:pPr>
      <w:r>
        <w:t xml:space="preserve">Finančný prenájom (s kúpnou opciou; bez kúpnej opcie je považovaný za operatívny prenájom). Majetok prenajatý na základe zmluvy uzatvorenej do 31. decembra </w:t>
      </w:r>
      <w:r w:rsidRPr="002C6EEA">
        <w:t>2003 vykazuje ako svoj majetok jeho vlastník, nie nájomca. Majetok prenajatý na základe zmluvy uzatvorenej 1. januára 2004 a</w:t>
      </w:r>
      <w:r>
        <w:t> neskôr vykazuje ako svoj majetok jeho nájomca, nie vlastník.</w:t>
      </w:r>
    </w:p>
    <w:p w:rsidR="004D3B4A" w:rsidRDefault="004D3B4A" w:rsidP="004D3B4A">
      <w:pPr>
        <w:pStyle w:val="Zkladntext"/>
        <w:rPr>
          <w:sz w:val="16"/>
          <w:szCs w:val="16"/>
        </w:rPr>
      </w:pPr>
    </w:p>
    <w:p w:rsidR="001A5B77" w:rsidRDefault="001A5B77" w:rsidP="004D3B4A">
      <w:pPr>
        <w:pStyle w:val="Zkladntext"/>
        <w:rPr>
          <w:sz w:val="16"/>
          <w:szCs w:val="16"/>
        </w:rPr>
      </w:pPr>
    </w:p>
    <w:p w:rsidR="004D3B4A" w:rsidRDefault="004D3B4A" w:rsidP="00251BF2">
      <w:pPr>
        <w:pStyle w:val="Pismenka"/>
        <w:tabs>
          <w:tab w:val="clear" w:pos="426"/>
        </w:tabs>
        <w:ind w:left="426"/>
      </w:pPr>
      <w:r>
        <w:t>Deriváty</w:t>
      </w:r>
    </w:p>
    <w:p w:rsidR="004D3B4A" w:rsidRDefault="004D3B4A" w:rsidP="004D3B4A">
      <w:pPr>
        <w:pStyle w:val="Zkladntext"/>
      </w:pPr>
      <w:r>
        <w:t>Deriváty sa oceňujú reálnou hodnotou.</w:t>
      </w:r>
    </w:p>
    <w:p w:rsidR="004D3B4A" w:rsidRPr="006201DD" w:rsidRDefault="004D3B4A" w:rsidP="004D3B4A">
      <w:pPr>
        <w:pStyle w:val="Zkladntext"/>
      </w:pPr>
    </w:p>
    <w:p w:rsidR="004D3B4A" w:rsidRDefault="004D3B4A" w:rsidP="004D3B4A">
      <w:pPr>
        <w:pStyle w:val="Zkladntext"/>
      </w:pPr>
      <w:r>
        <w:t>Zmeny reálnych hodnôt zabezpečovacích derivátov sa účtujú bez vplyvu na výsledok hospodárenia, priamo do vlastného imania.</w:t>
      </w:r>
    </w:p>
    <w:p w:rsidR="004D3B4A" w:rsidRPr="006201DD" w:rsidRDefault="004D3B4A" w:rsidP="004D3B4A">
      <w:pPr>
        <w:pStyle w:val="Zkladntext"/>
      </w:pPr>
    </w:p>
    <w:p w:rsidR="004D3B4A" w:rsidRDefault="004D3B4A" w:rsidP="004D3B4A">
      <w:pPr>
        <w:pStyle w:val="Zkladntext"/>
      </w:pPr>
      <w:r>
        <w:t>Zmeny reálnych hodnôt derivátov určených na obchodovanie na tuzemskej burze, zahraničnej burze alebo</w:t>
      </w:r>
      <w:r w:rsidR="00CF2FC7">
        <w:t xml:space="preserve"> na</w:t>
      </w:r>
      <w:r>
        <w:t xml:space="preserve"> inom verejnom trhu sa účtujú s vplyvom na výsledok hospodárenia.</w:t>
      </w:r>
    </w:p>
    <w:p w:rsidR="004D3B4A" w:rsidRPr="006201DD" w:rsidRDefault="004D3B4A" w:rsidP="004D3B4A">
      <w:pPr>
        <w:pStyle w:val="Zkladntext"/>
      </w:pPr>
    </w:p>
    <w:p w:rsidR="004D3B4A" w:rsidRDefault="004D3B4A" w:rsidP="004D3B4A">
      <w:pPr>
        <w:pStyle w:val="Zkladntext"/>
      </w:pPr>
      <w:r>
        <w:t>Zmeny reálnych hodnôt derivátov určených na obchodovanie na neverejnom trhu sa účtujú bez vplyvu na výsledok hospodárenia, priamo do vlastného imania.</w:t>
      </w:r>
    </w:p>
    <w:p w:rsidR="004D3B4A" w:rsidRDefault="004D3B4A" w:rsidP="004D3B4A">
      <w:pPr>
        <w:pStyle w:val="Zkladntext"/>
      </w:pPr>
    </w:p>
    <w:p w:rsidR="001A5B77" w:rsidRPr="006201DD" w:rsidRDefault="001A5B77" w:rsidP="004D3B4A">
      <w:pPr>
        <w:pStyle w:val="Zkladntext"/>
      </w:pPr>
    </w:p>
    <w:p w:rsidR="004D3B4A" w:rsidRDefault="004D3B4A" w:rsidP="00251BF2">
      <w:pPr>
        <w:pStyle w:val="Pismenka"/>
        <w:tabs>
          <w:tab w:val="clear" w:pos="426"/>
        </w:tabs>
        <w:ind w:left="426"/>
      </w:pPr>
      <w:r>
        <w:t>Majetok a záväzky zabezpečené derivátmi</w:t>
      </w:r>
    </w:p>
    <w:p w:rsidR="004D3B4A" w:rsidRDefault="004D3B4A" w:rsidP="004D3B4A">
      <w:pPr>
        <w:pStyle w:val="Zkladntext"/>
      </w:pPr>
      <w:r>
        <w:t xml:space="preserve">Majetok a záväzky zabezpečené derivátmi sa oceňujú reálnou hodnotou. Zmeny reálnych hodnôt majetku a záväzkov zabezpečených derivátmi sa účtujú bez vplyvu na výsledok hospodárenia, priamo do vlastného imania. </w:t>
      </w:r>
    </w:p>
    <w:p w:rsidR="004D3B4A" w:rsidRDefault="004D3B4A" w:rsidP="004D3B4A">
      <w:pPr>
        <w:pStyle w:val="Zkladntext"/>
        <w:rPr>
          <w:sz w:val="16"/>
          <w:szCs w:val="16"/>
        </w:rPr>
      </w:pPr>
    </w:p>
    <w:p w:rsidR="001A5B77" w:rsidRPr="00B1412B" w:rsidRDefault="001A5B77" w:rsidP="004D3B4A">
      <w:pPr>
        <w:pStyle w:val="Zkladntext"/>
        <w:rPr>
          <w:sz w:val="16"/>
          <w:szCs w:val="16"/>
        </w:rPr>
      </w:pPr>
    </w:p>
    <w:p w:rsidR="004D3B4A" w:rsidRDefault="004D3B4A" w:rsidP="00251BF2">
      <w:pPr>
        <w:pStyle w:val="Pismenka"/>
        <w:tabs>
          <w:tab w:val="clear" w:pos="426"/>
        </w:tabs>
        <w:ind w:left="426"/>
      </w:pPr>
      <w:r>
        <w:lastRenderedPageBreak/>
        <w:t>Cudzia mena</w:t>
      </w:r>
    </w:p>
    <w:p w:rsidR="004D3B4A" w:rsidRDefault="004D3B4A" w:rsidP="004D3B4A">
      <w:pPr>
        <w:pStyle w:val="Zkladntext"/>
      </w:pPr>
      <w:r w:rsidRPr="00194BFD">
        <w:t xml:space="preserve">Majetok a záväzky vyjadrené v cudzej mene sa ku dňu uskutočnenia účtovného prípadu </w:t>
      </w:r>
      <w:r>
        <w:t xml:space="preserve">prepočítavajú na menu euro referenčným výmenným </w:t>
      </w:r>
      <w:r w:rsidRPr="00194BFD">
        <w:t>kurzom</w:t>
      </w:r>
      <w:r>
        <w:t xml:space="preserve"> určeným a vyhláseným Európskou centrálnou bankou alebo Národnou bankou Slovenska v deň predchádzajúci dňu uskutočnenia účtovného prípadu. </w:t>
      </w:r>
    </w:p>
    <w:p w:rsidR="004D3B4A" w:rsidRDefault="004D3B4A" w:rsidP="004D3B4A">
      <w:pPr>
        <w:pStyle w:val="Zkladntext"/>
      </w:pPr>
    </w:p>
    <w:p w:rsidR="004D3B4A" w:rsidRDefault="004D3B4A" w:rsidP="004D3B4A">
      <w:pPr>
        <w:pStyle w:val="Zkladntext"/>
      </w:pPr>
      <w:r w:rsidRPr="00194BFD">
        <w:t>Majetok a záväzky vyjadrené v cudzej mene (</w:t>
      </w:r>
      <w:r>
        <w:t>okrem</w:t>
      </w:r>
      <w:r w:rsidRPr="00194BFD">
        <w:t xml:space="preserve"> prijatých a poskytnutých preddavkov) sa ku dňu, ku ktorému</w:t>
      </w:r>
      <w:r>
        <w:t xml:space="preserve"> sa</w:t>
      </w:r>
      <w:r w:rsidRPr="00194BFD">
        <w:t xml:space="preserve"> zostavuje účtovná závierka</w:t>
      </w:r>
      <w:r>
        <w:t>,</w:t>
      </w:r>
      <w:r w:rsidRPr="00194BFD">
        <w:t xml:space="preserve"> prepočítavajú na </w:t>
      </w:r>
      <w:r>
        <w:t xml:space="preserve">menu euro referenčným výmenným </w:t>
      </w:r>
      <w:r w:rsidRPr="00194BFD">
        <w:t xml:space="preserve">kurzom </w:t>
      </w:r>
      <w:r>
        <w:t>určeným a vyhláseným Európskou centrálnou bankou alebo Národnou bankou Slovenska v deň, ku ktorému sa zostavuje účtovná závierka,</w:t>
      </w:r>
      <w:r w:rsidRPr="00194BFD">
        <w:t xml:space="preserve"> a účtujú sa s vplyvom na výsledok hospodárenia. </w:t>
      </w:r>
    </w:p>
    <w:p w:rsidR="00BB2336" w:rsidRDefault="00BB2336" w:rsidP="001A5B77">
      <w:pPr>
        <w:pStyle w:val="Zkladntext"/>
        <w:ind w:left="0"/>
      </w:pPr>
    </w:p>
    <w:p w:rsidR="004D3B4A" w:rsidRDefault="00BB2336" w:rsidP="004D3B4A">
      <w:pPr>
        <w:pStyle w:val="Zkladntext"/>
      </w:pPr>
      <w:r>
        <w:t>Prijaté a poskytnuté preddavky sa k</w:t>
      </w:r>
      <w:r w:rsidR="004D3B4A">
        <w:t xml:space="preserve">u dňu, ku ktorému sa zostavuje účtovná závierka, na menu euro už neprepočítavajú. </w:t>
      </w:r>
    </w:p>
    <w:p w:rsidR="004D3B4A" w:rsidRDefault="004D3B4A" w:rsidP="004D3B4A">
      <w:pPr>
        <w:pStyle w:val="Zkladntext"/>
      </w:pPr>
    </w:p>
    <w:p w:rsidR="001A5B77" w:rsidRDefault="001A5B77" w:rsidP="004D3B4A">
      <w:pPr>
        <w:pStyle w:val="Zkladntext"/>
      </w:pPr>
    </w:p>
    <w:p w:rsidR="004D3B4A" w:rsidRDefault="004D3B4A" w:rsidP="00251BF2">
      <w:pPr>
        <w:pStyle w:val="Pismenka"/>
        <w:tabs>
          <w:tab w:val="clear" w:pos="426"/>
        </w:tabs>
        <w:ind w:left="426"/>
      </w:pPr>
      <w:r>
        <w:t>Výnosy</w:t>
      </w:r>
    </w:p>
    <w:p w:rsidR="004D3B4A" w:rsidRDefault="004D3B4A" w:rsidP="004D3B4A">
      <w:pPr>
        <w:pStyle w:val="Zkladntext"/>
        <w:rPr>
          <w:sz w:val="16"/>
          <w:szCs w:val="16"/>
        </w:rPr>
      </w:pPr>
      <w:r>
        <w:t>Tržby za vlastné výkony a tovar neobsahujú daň z pridanej hodnoty. Sú tiež znížené o zľavy a zrážky (rabaty, bonusy, skontá, dobropisy a pod.), bez ohľadu na to, či zákazník mal vopred na zľavu nárok, alebo či ide o dodatočne uznanú zľavu.</w:t>
      </w:r>
    </w:p>
    <w:p w:rsidR="004D3B4A" w:rsidRDefault="004D3B4A" w:rsidP="004D3B4A">
      <w:pPr>
        <w:pStyle w:val="Nadpis1"/>
        <w:tabs>
          <w:tab w:val="clear" w:pos="450"/>
          <w:tab w:val="num" w:pos="360"/>
        </w:tabs>
        <w:spacing w:before="120" w:after="60"/>
        <w:ind w:left="360"/>
      </w:pPr>
      <w:bookmarkStart w:id="9" w:name="_Toc530739900"/>
      <w:r>
        <w:br w:type="page"/>
      </w:r>
      <w:r>
        <w:lastRenderedPageBreak/>
        <w:t>informácie o údajoch na strane aktív súvahy</w:t>
      </w:r>
      <w:bookmarkEnd w:id="9"/>
    </w:p>
    <w:p w:rsidR="004D3B4A" w:rsidRPr="00B1412B" w:rsidRDefault="004D3B4A" w:rsidP="004D3B4A">
      <w:pPr>
        <w:pStyle w:val="Hlavika"/>
        <w:numPr>
          <w:ilvl w:val="12"/>
          <w:numId w:val="0"/>
        </w:numPr>
        <w:jc w:val="both"/>
        <w:rPr>
          <w:sz w:val="16"/>
          <w:szCs w:val="16"/>
        </w:rPr>
      </w:pPr>
    </w:p>
    <w:p w:rsidR="004D3B4A" w:rsidRDefault="004D3B4A" w:rsidP="00C02C96">
      <w:pPr>
        <w:pStyle w:val="Nadpis2"/>
        <w:numPr>
          <w:ilvl w:val="0"/>
          <w:numId w:val="25"/>
        </w:numPr>
        <w:tabs>
          <w:tab w:val="clear" w:pos="360"/>
          <w:tab w:val="num" w:pos="426"/>
        </w:tabs>
      </w:pPr>
      <w:bookmarkStart w:id="10" w:name="_Toc530739901"/>
      <w:r>
        <w:t>Dlhodobý nehmotný majetok a dlhodobý hmotný majetok</w:t>
      </w:r>
      <w:bookmarkEnd w:id="10"/>
    </w:p>
    <w:p w:rsidR="004D3B4A" w:rsidRPr="00B1412B" w:rsidRDefault="004D3B4A" w:rsidP="004D3B4A">
      <w:pPr>
        <w:pStyle w:val="Zkladntext"/>
        <w:rPr>
          <w:sz w:val="16"/>
          <w:szCs w:val="16"/>
        </w:rPr>
      </w:pPr>
    </w:p>
    <w:p w:rsidR="004D3B4A" w:rsidRDefault="004D3B4A" w:rsidP="004D3B4A">
      <w:pPr>
        <w:pStyle w:val="Zkladntext"/>
      </w:pPr>
      <w:r>
        <w:t>Prehľad o pohybe dlhodobého majet</w:t>
      </w:r>
      <w:r w:rsidR="008E56EC">
        <w:t>ku od 1. januára 201</w:t>
      </w:r>
      <w:r w:rsidR="00577BFD">
        <w:t>2</w:t>
      </w:r>
      <w:r w:rsidR="008E56EC">
        <w:t xml:space="preserve"> do </w:t>
      </w:r>
      <w:r>
        <w:t xml:space="preserve">31. </w:t>
      </w:r>
      <w:r w:rsidRPr="00C24B6B">
        <w:t>decembra 201</w:t>
      </w:r>
      <w:r w:rsidR="00577BFD">
        <w:t>2</w:t>
      </w:r>
      <w:r w:rsidRPr="00C24B6B">
        <w:t xml:space="preserve"> a za porovnateľné obdobie od 1. januára 201</w:t>
      </w:r>
      <w:r w:rsidR="00577BFD">
        <w:t>1</w:t>
      </w:r>
      <w:r w:rsidRPr="00C24B6B">
        <w:t xml:space="preserve"> do 31. decembra 201</w:t>
      </w:r>
      <w:r w:rsidR="00577BFD">
        <w:t>1</w:t>
      </w:r>
      <w:r w:rsidRPr="00C24B6B">
        <w:t xml:space="preserve"> je uvedený v tabuľk</w:t>
      </w:r>
      <w:r w:rsidR="00887683" w:rsidRPr="00C24B6B">
        <w:t>ách</w:t>
      </w:r>
      <w:r w:rsidRPr="00C24B6B">
        <w:t xml:space="preserve"> </w:t>
      </w:r>
      <w:r w:rsidR="00C22B63">
        <w:t>na stranách 1</w:t>
      </w:r>
      <w:r w:rsidR="005C7EF8">
        <w:t>0</w:t>
      </w:r>
      <w:r w:rsidR="00003C63" w:rsidRPr="00C24B6B">
        <w:t xml:space="preserve"> a</w:t>
      </w:r>
      <w:r w:rsidR="00AD6758" w:rsidRPr="00AD6758">
        <w:t>ž</w:t>
      </w:r>
      <w:r w:rsidR="00003C63" w:rsidRPr="00C24B6B">
        <w:t> 1</w:t>
      </w:r>
      <w:r w:rsidR="008958A5">
        <w:t>1</w:t>
      </w:r>
      <w:r w:rsidR="00003C63" w:rsidRPr="00C24B6B">
        <w:t>.</w:t>
      </w:r>
      <w:r w:rsidR="008E56EC">
        <w:t xml:space="preserve"> Dlhodobý nehmotný majetok spoločnosť nevlastni.</w:t>
      </w:r>
    </w:p>
    <w:p w:rsidR="004D3B4A" w:rsidRDefault="004D3B4A" w:rsidP="004D3B4A">
      <w:pPr>
        <w:pStyle w:val="Zkladntext"/>
      </w:pPr>
    </w:p>
    <w:p w:rsidR="001A5B77" w:rsidRDefault="001A5B77" w:rsidP="004D3B4A">
      <w:pPr>
        <w:pStyle w:val="Zkladntext"/>
        <w:rPr>
          <w:szCs w:val="18"/>
        </w:rPr>
      </w:pPr>
      <w:r>
        <w:rPr>
          <w:szCs w:val="18"/>
        </w:rPr>
        <w:t>Dlhodobý hmotný majetok nie je predmetom záložného práva.</w:t>
      </w:r>
    </w:p>
    <w:p w:rsidR="001A5B77" w:rsidRDefault="001A5B77" w:rsidP="004D3B4A">
      <w:pPr>
        <w:pStyle w:val="Zkladntext"/>
        <w:rPr>
          <w:szCs w:val="18"/>
        </w:rPr>
      </w:pPr>
    </w:p>
    <w:p w:rsidR="002130D8" w:rsidRPr="002130D8" w:rsidRDefault="00AD6758" w:rsidP="004D3B4A">
      <w:pPr>
        <w:pStyle w:val="Zkladntext"/>
        <w:rPr>
          <w:szCs w:val="18"/>
        </w:rPr>
      </w:pPr>
      <w:r w:rsidRPr="00AD6758">
        <w:rPr>
          <w:szCs w:val="18"/>
        </w:rPr>
        <w:t>Údaje o záložných právach</w:t>
      </w:r>
      <w:r w:rsidR="002130D8">
        <w:rPr>
          <w:szCs w:val="18"/>
        </w:rPr>
        <w:t xml:space="preserve"> k dlhodobému hmotnému majetku</w:t>
      </w:r>
      <w:r w:rsidRPr="00AD6758">
        <w:rPr>
          <w:szCs w:val="18"/>
        </w:rPr>
        <w:t xml:space="preserve"> sú uvedené v nasledujúcom prehľade: </w:t>
      </w:r>
    </w:p>
    <w:p w:rsidR="002130D8" w:rsidRDefault="002130D8" w:rsidP="004D3B4A">
      <w:pPr>
        <w:pStyle w:val="Zkladntext"/>
        <w:rPr>
          <w:szCs w:val="18"/>
        </w:rPr>
      </w:pPr>
    </w:p>
    <w:p w:rsidR="002130D8" w:rsidRPr="002130D8" w:rsidRDefault="00EB1BB0" w:rsidP="004D3B4A">
      <w:pPr>
        <w:pStyle w:val="Zkladntext"/>
        <w:rPr>
          <w:szCs w:val="18"/>
        </w:rPr>
      </w:pPr>
      <w:r w:rsidRPr="0078754C">
        <w:object w:dxaOrig="9334" w:dyaOrig="1436">
          <v:shape id="_x0000_i1027" type="#_x0000_t75" style="width:440.15pt;height:74.7pt" o:ole="" o:preferrelative="f">
            <v:imagedata r:id="rId18" o:title=""/>
            <o:lock v:ext="edit" aspectratio="f"/>
          </v:shape>
          <o:OLEObject Type="Embed" ProgID="Excel.Sheet.12" ShapeID="_x0000_i1027" DrawAspect="Content" ObjectID="_1427001791" r:id="rId19"/>
        </w:object>
      </w:r>
    </w:p>
    <w:p w:rsidR="004D3B4A" w:rsidRDefault="004D3B4A" w:rsidP="004D3B4A">
      <w:pPr>
        <w:pStyle w:val="Zkladntext"/>
      </w:pPr>
      <w:r>
        <w:t>Spoločnosť v roku 201</w:t>
      </w:r>
      <w:r w:rsidR="00FB5259">
        <w:t>2</w:t>
      </w:r>
      <w:r>
        <w:t xml:space="preserve"> </w:t>
      </w:r>
      <w:r w:rsidR="00E967E6">
        <w:t xml:space="preserve">vykonala rekonštrukciu </w:t>
      </w:r>
      <w:r w:rsidR="00FB5259">
        <w:t xml:space="preserve">výrobných hál </w:t>
      </w:r>
      <w:r w:rsidR="00E967E6">
        <w:t xml:space="preserve">nehnuteľnosti – </w:t>
      </w:r>
      <w:r w:rsidR="00577BFD">
        <w:t>hobľovacia hala a s</w:t>
      </w:r>
      <w:r w:rsidR="00FB5259">
        <w:t>kladu</w:t>
      </w:r>
      <w:r w:rsidR="00577BFD">
        <w:t xml:space="preserve"> brikiet</w:t>
      </w:r>
      <w:r w:rsidR="00E967E6">
        <w:t xml:space="preserve"> vo výške </w:t>
      </w:r>
      <w:r w:rsidR="00577BFD">
        <w:t>52</w:t>
      </w:r>
      <w:r w:rsidR="00E967E6">
        <w:t>.</w:t>
      </w:r>
      <w:r w:rsidR="00577BFD">
        <w:t>346</w:t>
      </w:r>
      <w:r w:rsidR="00E967E6">
        <w:t>,</w:t>
      </w:r>
      <w:r w:rsidR="00577BFD">
        <w:t>38</w:t>
      </w:r>
      <w:r w:rsidR="00E967E6">
        <w:t xml:space="preserve"> EUR a</w:t>
      </w:r>
      <w:r w:rsidR="00577BFD">
        <w:t xml:space="preserve"> investovala do nákupu nových strojov a zariadení zameraných na výrobu </w:t>
      </w:r>
      <w:r w:rsidR="00FB5259">
        <w:t xml:space="preserve">drevených </w:t>
      </w:r>
      <w:r w:rsidR="00577BFD">
        <w:t>brikiet a hobľovacích profilov.</w:t>
      </w:r>
    </w:p>
    <w:p w:rsidR="004D3B4A" w:rsidRPr="003A5BF1" w:rsidRDefault="004D3B4A" w:rsidP="004D3B4A">
      <w:pPr>
        <w:pStyle w:val="Zkladntext"/>
        <w:rPr>
          <w:sz w:val="16"/>
          <w:szCs w:val="16"/>
        </w:rPr>
      </w:pPr>
    </w:p>
    <w:p w:rsidR="004D3B4A" w:rsidRDefault="004D3B4A" w:rsidP="004D3B4A">
      <w:pPr>
        <w:pStyle w:val="Zkladntext"/>
      </w:pPr>
      <w:r>
        <w:t xml:space="preserve">Dlhodobý hmotný majetok je poistený pre prípad škôd spôsobených krádežou a živelnou pohromou až do výšky </w:t>
      </w:r>
      <w:r>
        <w:br/>
      </w:r>
      <w:r w:rsidR="00621CC0">
        <w:t>700.000,-</w:t>
      </w:r>
      <w:r>
        <w:t>. EUR</w:t>
      </w:r>
      <w:r w:rsidR="00621CC0">
        <w:t>.</w:t>
      </w:r>
      <w:r w:rsidR="00577BFD">
        <w:t xml:space="preserve"> Samostatne sú poistené dopravné prostriedky spoločnosti.</w:t>
      </w:r>
    </w:p>
    <w:p w:rsidR="004D3B4A" w:rsidRDefault="004D3B4A" w:rsidP="004D3B4A">
      <w:pPr>
        <w:pStyle w:val="Zkladntext"/>
        <w:ind w:left="0"/>
      </w:pPr>
    </w:p>
    <w:p w:rsidR="008E56EC" w:rsidRDefault="008E56EC" w:rsidP="004D3B4A">
      <w:pPr>
        <w:pStyle w:val="Zkladntext"/>
        <w:ind w:left="0"/>
      </w:pPr>
    </w:p>
    <w:p w:rsidR="001A5B77" w:rsidRDefault="001A5B77" w:rsidP="004D3B4A">
      <w:pPr>
        <w:pStyle w:val="Zkladntext"/>
        <w:ind w:left="0"/>
      </w:pPr>
    </w:p>
    <w:p w:rsidR="004D3B4A" w:rsidRDefault="004D3B4A" w:rsidP="004D3B4A">
      <w:pPr>
        <w:pStyle w:val="Nadpis2"/>
        <w:numPr>
          <w:ilvl w:val="0"/>
          <w:numId w:val="2"/>
        </w:numPr>
      </w:pPr>
      <w:r>
        <w:t>Dlhodobý finančný majetok</w:t>
      </w:r>
    </w:p>
    <w:p w:rsidR="004D3B4A" w:rsidRDefault="004D3B4A" w:rsidP="004D3B4A">
      <w:pPr>
        <w:pStyle w:val="Zkladntext"/>
      </w:pPr>
    </w:p>
    <w:p w:rsidR="004409F5" w:rsidRDefault="004409F5" w:rsidP="004409F5">
      <w:pPr>
        <w:pStyle w:val="Zkladntext"/>
      </w:pPr>
      <w:r>
        <w:t>Prehľad o pohybe dlhodobého finančného majetku od 1. januára 201</w:t>
      </w:r>
      <w:r w:rsidR="00BE2E3F">
        <w:t>2</w:t>
      </w:r>
      <w:r>
        <w:t xml:space="preserve"> do 31. decembra 201</w:t>
      </w:r>
      <w:r w:rsidR="00BE2E3F">
        <w:t>2</w:t>
      </w:r>
      <w:r>
        <w:t xml:space="preserve"> a za porovnateľné obdobie od 1. januára 201</w:t>
      </w:r>
      <w:r w:rsidR="00BE2E3F">
        <w:t>1</w:t>
      </w:r>
      <w:r>
        <w:t xml:space="preserve"> do 31. decembra 201</w:t>
      </w:r>
      <w:r w:rsidR="00BE2E3F">
        <w:t>2</w:t>
      </w:r>
      <w:r>
        <w:t xml:space="preserve"> je uvedený v tabuľke na stranách </w:t>
      </w:r>
      <w:r w:rsidR="00AD6758" w:rsidRPr="00AD6758">
        <w:t>1</w:t>
      </w:r>
      <w:r w:rsidR="008958A5">
        <w:t>2</w:t>
      </w:r>
      <w:r w:rsidR="008E56EC">
        <w:t xml:space="preserve"> a 1</w:t>
      </w:r>
      <w:r w:rsidR="008958A5">
        <w:t>3</w:t>
      </w:r>
      <w:r w:rsidR="00AD6758" w:rsidRPr="00AD6758">
        <w:t>.</w:t>
      </w:r>
    </w:p>
    <w:p w:rsidR="004409F5" w:rsidRDefault="004409F5" w:rsidP="004409F5">
      <w:pPr>
        <w:pStyle w:val="Zkladntext"/>
      </w:pPr>
    </w:p>
    <w:p w:rsidR="004409F5" w:rsidRDefault="003E0E2D" w:rsidP="004409F5">
      <w:pPr>
        <w:pStyle w:val="Zkladntext"/>
      </w:pPr>
      <w:r>
        <w:t xml:space="preserve">V priebehu sledovaného obdobia sa výška dlhodobého finančného majetku menila </w:t>
      </w:r>
      <w:r w:rsidR="00FB5259">
        <w:t>a to predajom akcií MPC CESSI a.s. v počte 674 kusov akcií na doručiteľa.</w:t>
      </w:r>
    </w:p>
    <w:p w:rsidR="001A5B77" w:rsidRDefault="001A5B77" w:rsidP="004409F5">
      <w:pPr>
        <w:pStyle w:val="Zkladntext"/>
      </w:pPr>
    </w:p>
    <w:p w:rsidR="001A5B77" w:rsidRDefault="001A5B77" w:rsidP="004409F5">
      <w:pPr>
        <w:pStyle w:val="Zkladntext"/>
      </w:pPr>
    </w:p>
    <w:bookmarkStart w:id="11" w:name="_MON_1393715303"/>
    <w:bookmarkEnd w:id="11"/>
    <w:p w:rsidR="00F54864" w:rsidRDefault="00B719E0" w:rsidP="004409F5">
      <w:pPr>
        <w:pStyle w:val="Zkladntext"/>
      </w:pPr>
      <w:r>
        <w:object w:dxaOrig="9873" w:dyaOrig="5050">
          <v:shape id="_x0000_i1028" type="#_x0000_t75" style="width:447.6pt;height:243.85pt" o:ole="" o:preferrelative="f">
            <v:imagedata r:id="rId20" o:title=""/>
            <o:lock v:ext="edit" aspectratio="f"/>
          </v:shape>
          <o:OLEObject Type="Embed" ProgID="Excel.Sheet.12" ShapeID="_x0000_i1028" DrawAspect="Content" ObjectID="_1427001792" r:id="rId21"/>
        </w:object>
      </w:r>
    </w:p>
    <w:bookmarkStart w:id="12" w:name="_MON_1393715385"/>
    <w:bookmarkEnd w:id="12"/>
    <w:p w:rsidR="007752E5" w:rsidRDefault="007752E5" w:rsidP="008958A5">
      <w:pPr>
        <w:pStyle w:val="Zkladntext"/>
      </w:pPr>
      <w:r w:rsidRPr="0078754C">
        <w:object w:dxaOrig="9323" w:dyaOrig="1434">
          <v:shape id="_x0000_i1029" type="#_x0000_t75" style="width:439.45pt;height:74.7pt" o:ole="" o:preferrelative="f">
            <v:imagedata r:id="rId22" o:title=""/>
            <o:lock v:ext="edit" aspectratio="f"/>
          </v:shape>
          <o:OLEObject Type="Embed" ProgID="Excel.Sheet.12" ShapeID="_x0000_i1029" DrawAspect="Content" ObjectID="_1427001793" r:id="rId23"/>
        </w:object>
      </w:r>
    </w:p>
    <w:p w:rsidR="008958A5" w:rsidRDefault="008958A5" w:rsidP="008958A5">
      <w:pPr>
        <w:pStyle w:val="Zkladntext"/>
      </w:pPr>
    </w:p>
    <w:p w:rsidR="00E34DCA" w:rsidRDefault="001C0A6A">
      <w:pPr>
        <w:spacing w:after="200" w:line="276" w:lineRule="auto"/>
        <w:ind w:left="426"/>
        <w:rPr>
          <w:sz w:val="18"/>
        </w:rPr>
      </w:pPr>
      <w:r>
        <w:rPr>
          <w:sz w:val="18"/>
        </w:rPr>
        <w:t>Výška vlastného imania k 31. decembru 201</w:t>
      </w:r>
      <w:r w:rsidR="003F6079">
        <w:rPr>
          <w:sz w:val="18"/>
        </w:rPr>
        <w:t>1</w:t>
      </w:r>
      <w:r>
        <w:rPr>
          <w:sz w:val="18"/>
        </w:rPr>
        <w:t xml:space="preserve"> a výsledku hospodárenia za účtovné obdobie 201</w:t>
      </w:r>
      <w:r w:rsidR="001A5B77">
        <w:rPr>
          <w:sz w:val="18"/>
        </w:rPr>
        <w:t xml:space="preserve">1 </w:t>
      </w:r>
      <w:r>
        <w:rPr>
          <w:sz w:val="18"/>
        </w:rPr>
        <w:t xml:space="preserve"> podnikov je uvedená v nasledujúcom prehľade:</w:t>
      </w:r>
    </w:p>
    <w:p w:rsidR="004D3B4A" w:rsidRDefault="004D3B4A" w:rsidP="004D3B4A">
      <w:pPr>
        <w:pStyle w:val="Zkladntext"/>
      </w:pPr>
      <w:bookmarkStart w:id="13" w:name="_Toc530739903"/>
    </w:p>
    <w:bookmarkStart w:id="14" w:name="_MON_1392805136"/>
    <w:bookmarkStart w:id="15" w:name="_MON_1393715349"/>
    <w:bookmarkEnd w:id="14"/>
    <w:bookmarkEnd w:id="15"/>
    <w:bookmarkStart w:id="16" w:name="_MON_1392795324"/>
    <w:bookmarkEnd w:id="16"/>
    <w:p w:rsidR="004D3B4A" w:rsidRDefault="008958A5" w:rsidP="004D3B4A">
      <w:pPr>
        <w:pStyle w:val="Zkladntext"/>
      </w:pPr>
      <w:r w:rsidRPr="0078754C">
        <w:object w:dxaOrig="8878" w:dyaOrig="6483">
          <v:shape id="_x0000_i1030" type="#_x0000_t75" style="width:437.45pt;height:345.75pt" o:ole="" o:preferrelative="f">
            <v:imagedata r:id="rId24" o:title=""/>
            <o:lock v:ext="edit" aspectratio="f"/>
          </v:shape>
          <o:OLEObject Type="Embed" ProgID="Excel.Sheet.12" ShapeID="_x0000_i1030" DrawAspect="Content" ObjectID="_1427001794" r:id="rId25"/>
        </w:object>
      </w:r>
    </w:p>
    <w:p w:rsidR="004D3B4A" w:rsidRDefault="004D3B4A" w:rsidP="004D3B4A">
      <w:pPr>
        <w:pStyle w:val="Zkladntext"/>
      </w:pPr>
    </w:p>
    <w:p w:rsidR="004D3B4A" w:rsidRDefault="004D3B4A" w:rsidP="004D3B4A">
      <w:pPr>
        <w:pStyle w:val="Zkladntext"/>
      </w:pPr>
    </w:p>
    <w:p w:rsidR="004D3B4A" w:rsidRDefault="004D3B4A" w:rsidP="004D3B4A">
      <w:pPr>
        <w:pStyle w:val="Zkladntext"/>
      </w:pPr>
    </w:p>
    <w:p w:rsidR="004D3B4A" w:rsidRDefault="004D3B4A" w:rsidP="004D3B4A">
      <w:pPr>
        <w:pStyle w:val="Zkladntext"/>
      </w:pPr>
    </w:p>
    <w:p w:rsidR="004D3B4A" w:rsidRDefault="004D3B4A" w:rsidP="004D3B4A">
      <w:pPr>
        <w:pStyle w:val="Nadpis2"/>
        <w:numPr>
          <w:ilvl w:val="0"/>
          <w:numId w:val="0"/>
        </w:numPr>
      </w:pPr>
    </w:p>
    <w:p w:rsidR="004D3B4A" w:rsidRDefault="004D3B4A" w:rsidP="004D3B4A"/>
    <w:p w:rsidR="004D3B4A" w:rsidRDefault="004D3B4A"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E56EC" w:rsidRDefault="008E56EC"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8958A5" w:rsidRDefault="008958A5" w:rsidP="004D3B4A"/>
    <w:p w:rsidR="004D3B4A" w:rsidRDefault="004D3B4A" w:rsidP="004D3B4A">
      <w:pPr>
        <w:pStyle w:val="Nadpis2"/>
        <w:numPr>
          <w:ilvl w:val="0"/>
          <w:numId w:val="2"/>
        </w:numPr>
      </w:pPr>
      <w:r w:rsidRPr="00E3042F">
        <w:t>Zásoby</w:t>
      </w:r>
      <w:bookmarkEnd w:id="13"/>
    </w:p>
    <w:p w:rsidR="004D3B4A" w:rsidRDefault="004D3B4A" w:rsidP="004D3B4A">
      <w:pPr>
        <w:pStyle w:val="Zkladntext"/>
      </w:pPr>
    </w:p>
    <w:p w:rsidR="004D3B4A" w:rsidRDefault="004D3B4A" w:rsidP="004D3B4A">
      <w:pPr>
        <w:pStyle w:val="Zkladntext"/>
      </w:pPr>
      <w:r>
        <w:t>Vývoj opravnej položky v priebehu účtovného obdobia je uvedený v nasledujúcom prehľade:</w:t>
      </w:r>
    </w:p>
    <w:p w:rsidR="004D3B4A" w:rsidRDefault="004D3B4A" w:rsidP="004D3B4A">
      <w:pPr>
        <w:pStyle w:val="Zkladntext"/>
      </w:pPr>
    </w:p>
    <w:bookmarkStart w:id="17" w:name="_MON_1423993440"/>
    <w:bookmarkEnd w:id="17"/>
    <w:p w:rsidR="00E34DCA" w:rsidRDefault="00F648E1">
      <w:pPr>
        <w:ind w:left="425"/>
      </w:pPr>
      <w:r>
        <w:object w:dxaOrig="9123" w:dyaOrig="4422">
          <v:shape id="_x0000_i1031" type="#_x0000_t75" style="width:439.45pt;height:229.6pt" o:ole="" o:preferrelative="f">
            <v:imagedata r:id="rId26" o:title=""/>
            <o:lock v:ext="edit" aspectratio="f"/>
          </v:shape>
          <o:OLEObject Type="Embed" ProgID="Excel.Sheet.12" ShapeID="_x0000_i1031" DrawAspect="Content" ObjectID="_1427001795" r:id="rId27"/>
        </w:object>
      </w:r>
    </w:p>
    <w:p w:rsidR="00086A82" w:rsidRDefault="00086A82" w:rsidP="004D3B4A">
      <w:pPr>
        <w:pStyle w:val="Zkladntext"/>
      </w:pPr>
    </w:p>
    <w:p w:rsidR="007B2E7A" w:rsidRDefault="009A69A7" w:rsidP="004D3B4A">
      <w:pPr>
        <w:pStyle w:val="Zkladntext"/>
      </w:pPr>
      <w:r>
        <w:t xml:space="preserve">Situácia v zásobách </w:t>
      </w:r>
      <w:r w:rsidR="00D46E6E">
        <w:t xml:space="preserve">na základe vykonanej fyzickej inventúry </w:t>
      </w:r>
      <w:r>
        <w:t>si nevyžaduje tvorbu opravných položiek.</w:t>
      </w:r>
      <w:r w:rsidR="004D3B4A">
        <w:t xml:space="preserve">. Úžitková </w:t>
      </w:r>
      <w:r w:rsidR="003F6079">
        <w:t xml:space="preserve">a kvalitatívna </w:t>
      </w:r>
      <w:r w:rsidR="004D3B4A">
        <w:t xml:space="preserve">hodnota zásob </w:t>
      </w:r>
      <w:r>
        <w:t>ostala zachovaná.</w:t>
      </w:r>
    </w:p>
    <w:p w:rsidR="009A69A7" w:rsidRDefault="009A69A7" w:rsidP="004D3B4A">
      <w:pPr>
        <w:pStyle w:val="Zkladntext"/>
      </w:pPr>
    </w:p>
    <w:p w:rsidR="009A69A7" w:rsidRDefault="009A69A7" w:rsidP="004D3B4A">
      <w:pPr>
        <w:pStyle w:val="Zkladntext"/>
      </w:pPr>
    </w:p>
    <w:p w:rsidR="009A69A7" w:rsidRDefault="009A69A7" w:rsidP="004D3B4A">
      <w:pPr>
        <w:pStyle w:val="Zkladntext"/>
      </w:pPr>
    </w:p>
    <w:p w:rsidR="009A69A7" w:rsidRDefault="009A69A7" w:rsidP="004D3B4A">
      <w:pPr>
        <w:pStyle w:val="Zkladntext"/>
      </w:pPr>
    </w:p>
    <w:p w:rsidR="004A4D80" w:rsidRDefault="00F648E1" w:rsidP="004D3B4A">
      <w:pPr>
        <w:pStyle w:val="Zkladntext"/>
      </w:pPr>
      <w:r w:rsidRPr="0078754C">
        <w:object w:dxaOrig="8883" w:dyaOrig="1205">
          <v:shape id="_x0000_i1032" type="#_x0000_t75" style="width:439.45pt;height:60.45pt" o:ole="" o:preferrelative="f">
            <v:imagedata r:id="rId28" o:title=""/>
            <o:lock v:ext="edit" aspectratio="f"/>
          </v:shape>
          <o:OLEObject Type="Embed" ProgID="Excel.Sheet.12" ShapeID="_x0000_i1032" DrawAspect="Content" ObjectID="_1427001796" r:id="rId29"/>
        </w:object>
      </w:r>
    </w:p>
    <w:p w:rsidR="00086A82" w:rsidRDefault="00086A82" w:rsidP="004D3B4A">
      <w:pPr>
        <w:pStyle w:val="Zkladntext"/>
      </w:pPr>
    </w:p>
    <w:p w:rsidR="004D3B4A" w:rsidRDefault="004D3B4A" w:rsidP="004D3B4A">
      <w:pPr>
        <w:pStyle w:val="Nadpis2"/>
        <w:numPr>
          <w:ilvl w:val="0"/>
          <w:numId w:val="2"/>
        </w:numPr>
      </w:pPr>
      <w:r w:rsidRPr="007D5600">
        <w:t>Údaje o zákazkovej výrobe</w:t>
      </w:r>
    </w:p>
    <w:p w:rsidR="004D3B4A" w:rsidRDefault="004D3B4A" w:rsidP="004D3B4A">
      <w:pPr>
        <w:pStyle w:val="Zkladntext"/>
      </w:pPr>
    </w:p>
    <w:p w:rsidR="004D3B4A" w:rsidRDefault="009A69A7" w:rsidP="004D3B4A">
      <w:pPr>
        <w:pStyle w:val="Zkladntext"/>
      </w:pPr>
      <w:r>
        <w:t xml:space="preserve">Spoločnosť nerealizuje výrobu na základe zákaziek. Svoje produkty spoločnosť dodáva v štandardnom režime buď na základe dlhodobých zmlúv jedná sa hlavne o strategických odberateľov, alebo na základe krátkodobých objednávok alebo operatívne </w:t>
      </w:r>
      <w:r w:rsidR="00F22792">
        <w:t xml:space="preserve">predaj </w:t>
      </w:r>
      <w:r>
        <w:t>zo zásob vyrobenej produkcie uloženej na sklade výrobkov.</w:t>
      </w:r>
      <w:r w:rsidR="004D3B4A" w:rsidRPr="00A20792">
        <w:t>.</w:t>
      </w:r>
    </w:p>
    <w:p w:rsidR="004D3B4A" w:rsidRDefault="004D3B4A" w:rsidP="004D3B4A">
      <w:pPr>
        <w:pStyle w:val="Zkladntext"/>
      </w:pPr>
    </w:p>
    <w:p w:rsidR="00A73577" w:rsidRDefault="00A73577" w:rsidP="00C76D6A">
      <w:pPr>
        <w:ind w:left="426"/>
      </w:pPr>
    </w:p>
    <w:p w:rsidR="00086A82" w:rsidRDefault="00086A82" w:rsidP="007752E5"/>
    <w:p w:rsidR="005D2A89" w:rsidRDefault="00CA441D">
      <w:pPr>
        <w:pStyle w:val="Nadpis2"/>
        <w:numPr>
          <w:ilvl w:val="0"/>
          <w:numId w:val="2"/>
        </w:numPr>
      </w:pPr>
      <w:bookmarkStart w:id="18" w:name="_Toc530739904"/>
      <w:r>
        <w:t>Pohľadávky</w:t>
      </w:r>
      <w:bookmarkEnd w:id="18"/>
    </w:p>
    <w:p w:rsidR="00CA441D" w:rsidRDefault="00CA441D" w:rsidP="00CA441D">
      <w:pPr>
        <w:pStyle w:val="Zkladntext"/>
      </w:pPr>
    </w:p>
    <w:p w:rsidR="00CA441D" w:rsidRDefault="007752E5" w:rsidP="00CA441D">
      <w:pPr>
        <w:pStyle w:val="Zkladntext"/>
      </w:pPr>
      <w:r>
        <w:t>Spoločnosť nemá rizikové pohľadávky ku ktorým by bolo potrební vytvárať opravnú položku.</w:t>
      </w:r>
    </w:p>
    <w:p w:rsidR="009D0700" w:rsidRPr="00395629" w:rsidRDefault="009D0700" w:rsidP="009D0700">
      <w:pPr>
        <w:pStyle w:val="Zkladntext"/>
        <w:rPr>
          <w:lang w:val="de-DE"/>
        </w:rPr>
      </w:pPr>
    </w:p>
    <w:p w:rsidR="0064520D" w:rsidRPr="00395629" w:rsidRDefault="0064520D" w:rsidP="009D0700">
      <w:pPr>
        <w:pStyle w:val="Zkladntext"/>
        <w:rPr>
          <w:lang w:val="de-DE"/>
        </w:rPr>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BE1B47" w:rsidRDefault="00BE1B47" w:rsidP="00BE1B47">
      <w:pPr>
        <w:spacing w:after="200" w:line="276" w:lineRule="auto"/>
      </w:pPr>
    </w:p>
    <w:p w:rsidR="00CA441D" w:rsidRDefault="00CA441D" w:rsidP="00BE1B47">
      <w:pPr>
        <w:spacing w:after="200" w:line="276" w:lineRule="auto"/>
      </w:pPr>
      <w:r>
        <w:t xml:space="preserve">Veková štruktúra pohľadávok </w:t>
      </w:r>
      <w:r w:rsidR="00515879">
        <w:t xml:space="preserve">za bežné účtovné obdobie </w:t>
      </w:r>
      <w:r>
        <w:t>je uvedená v nasledujúcom prehľade:</w:t>
      </w:r>
    </w:p>
    <w:p w:rsidR="0034119B" w:rsidRDefault="0034119B" w:rsidP="00CA441D">
      <w:pPr>
        <w:pStyle w:val="Zkladntext"/>
      </w:pPr>
    </w:p>
    <w:p w:rsidR="0034119B" w:rsidRDefault="0034119B" w:rsidP="00CA441D">
      <w:pPr>
        <w:pStyle w:val="Zkladntext"/>
      </w:pPr>
    </w:p>
    <w:bookmarkStart w:id="19" w:name="_MON_1423993644"/>
    <w:bookmarkEnd w:id="19"/>
    <w:p w:rsidR="00086A82" w:rsidRDefault="00F648E1" w:rsidP="00342E08">
      <w:pPr>
        <w:pStyle w:val="Zkladntext"/>
      </w:pPr>
      <w:r>
        <w:object w:dxaOrig="9005" w:dyaOrig="6064">
          <v:shape id="_x0000_i1033" type="#_x0000_t75" style="width:438.1pt;height:313.8pt" o:ole="" o:preferrelative="f">
            <v:imagedata r:id="rId30" o:title=""/>
            <o:lock v:ext="edit" aspectratio="f"/>
          </v:shape>
          <o:OLEObject Type="Embed" ProgID="Excel.Sheet.12" ShapeID="_x0000_i1033" DrawAspect="Content" ObjectID="_1427001797" r:id="rId31"/>
        </w:object>
      </w:r>
    </w:p>
    <w:p w:rsidR="00086A82" w:rsidRDefault="00086A82">
      <w:pPr>
        <w:spacing w:after="200" w:line="276" w:lineRule="auto"/>
        <w:rPr>
          <w:sz w:val="18"/>
        </w:rPr>
      </w:pPr>
      <w:r>
        <w:br w:type="page"/>
      </w:r>
    </w:p>
    <w:p w:rsidR="00342E08" w:rsidRDefault="00342E08" w:rsidP="00342E08">
      <w:pPr>
        <w:pStyle w:val="Zkladntext"/>
      </w:pPr>
      <w:r>
        <w:lastRenderedPageBreak/>
        <w:t>Veková štruktúra pohľadávok za predchádzajúce účtovné obdobie je uvedená v nasledujúcom prehľade:</w:t>
      </w:r>
    </w:p>
    <w:p w:rsidR="0034119B" w:rsidRDefault="0034119B" w:rsidP="00342E08">
      <w:pPr>
        <w:pStyle w:val="Zkladntext"/>
      </w:pPr>
    </w:p>
    <w:bookmarkStart w:id="20" w:name="_MON_1423994419"/>
    <w:bookmarkEnd w:id="20"/>
    <w:p w:rsidR="00342E08" w:rsidRDefault="00626A76" w:rsidP="00CA441D">
      <w:pPr>
        <w:pStyle w:val="Zkladntext"/>
      </w:pPr>
      <w:r>
        <w:object w:dxaOrig="9044" w:dyaOrig="6093">
          <v:shape id="_x0000_i1034" type="#_x0000_t75" style="width:440.85pt;height:332.85pt" o:ole="" o:preferrelative="f">
            <v:imagedata r:id="rId32" o:title=""/>
            <o:lock v:ext="edit" aspectratio="f"/>
          </v:shape>
          <o:OLEObject Type="Embed" ProgID="Excel.Sheet.12" ShapeID="_x0000_i1034" DrawAspect="Content" ObjectID="_1427001798" r:id="rId33"/>
        </w:object>
      </w:r>
    </w:p>
    <w:p w:rsidR="00EF4E72" w:rsidRDefault="00EF4E72" w:rsidP="00CA441D">
      <w:pPr>
        <w:pStyle w:val="Zkladntext"/>
      </w:pPr>
      <w:r>
        <w:t>Pohľadávky podľa zostatkovej doby splatnosti sú uvedené v nasledujúcom prehľade:</w:t>
      </w:r>
    </w:p>
    <w:p w:rsidR="0034119B" w:rsidRDefault="0034119B" w:rsidP="00CA441D">
      <w:pPr>
        <w:pStyle w:val="Zkladntext"/>
      </w:pPr>
    </w:p>
    <w:p w:rsidR="00EF4E72" w:rsidRDefault="00EF4E72" w:rsidP="00CA441D">
      <w:pPr>
        <w:pStyle w:val="Zkladntext"/>
      </w:pPr>
    </w:p>
    <w:bookmarkStart w:id="21" w:name="_MON_1423994752"/>
    <w:bookmarkEnd w:id="21"/>
    <w:p w:rsidR="00367A6E" w:rsidRDefault="00F648E1" w:rsidP="00142DDE">
      <w:pPr>
        <w:pStyle w:val="Zkladntext"/>
      </w:pPr>
      <w:r>
        <w:object w:dxaOrig="8976" w:dyaOrig="2374">
          <v:shape id="_x0000_i1035" type="#_x0000_t75" style="width:438.8pt;height:129.75pt" o:ole="" o:preferrelative="f">
            <v:imagedata r:id="rId34" o:title=""/>
            <o:lock v:ext="edit" aspectratio="f"/>
          </v:shape>
          <o:OLEObject Type="Embed" ProgID="Excel.Sheet.12" ShapeID="_x0000_i1035" DrawAspect="Content" ObjectID="_1427001799" r:id="rId35"/>
        </w:object>
      </w:r>
      <w:r w:rsidR="00A9048F" w:rsidRPr="00A9048F">
        <w:t xml:space="preserve"> </w:t>
      </w:r>
    </w:p>
    <w:p w:rsidR="00F648E1" w:rsidRDefault="00F648E1" w:rsidP="00142DDE">
      <w:pPr>
        <w:pStyle w:val="Zkladntext"/>
      </w:pPr>
    </w:p>
    <w:p w:rsidR="00F648E1" w:rsidRDefault="00F648E1" w:rsidP="00142DDE">
      <w:pPr>
        <w:pStyle w:val="Zkladntext"/>
      </w:pPr>
    </w:p>
    <w:p w:rsidR="00367A6E" w:rsidRDefault="00F648E1" w:rsidP="00142DDE">
      <w:pPr>
        <w:pStyle w:val="Zkladntext"/>
      </w:pPr>
      <w:r>
        <w:t xml:space="preserve">Na pohľadávky nie je zriadené žiadne záložné právo a žiadne pohľadávky nie sú kryté záložným právom </w:t>
      </w:r>
    </w:p>
    <w:p w:rsidR="00367A6E" w:rsidRPr="00423AFA" w:rsidRDefault="00367A6E" w:rsidP="00142DDE">
      <w:pPr>
        <w:pStyle w:val="Zkladntext"/>
      </w:pPr>
    </w:p>
    <w:p w:rsidR="007752E5" w:rsidRDefault="00F648E1" w:rsidP="007752E5">
      <w:pPr>
        <w:pStyle w:val="Zkladntext"/>
      </w:pPr>
      <w:r w:rsidRPr="001C0A6A">
        <w:object w:dxaOrig="8998" w:dyaOrig="1638">
          <v:shape id="_x0000_i1036" type="#_x0000_t75" style="width:440.85pt;height:81.5pt" o:ole="" o:preferrelative="f">
            <v:imagedata r:id="rId36" o:title=""/>
            <o:lock v:ext="edit" aspectratio="f"/>
          </v:shape>
          <o:OLEObject Type="Embed" ProgID="Excel.Sheet.12" ShapeID="_x0000_i1036" DrawAspect="Content" ObjectID="_1427001800" r:id="rId37"/>
        </w:object>
      </w:r>
      <w:bookmarkStart w:id="22" w:name="_Toc530739905"/>
    </w:p>
    <w:p w:rsidR="00F648E1" w:rsidRPr="007752E5" w:rsidRDefault="00F648E1" w:rsidP="007752E5">
      <w:pPr>
        <w:pStyle w:val="Zkladntext"/>
      </w:pPr>
    </w:p>
    <w:p w:rsidR="00CA441D" w:rsidRDefault="00CA441D" w:rsidP="00CA441D">
      <w:pPr>
        <w:pStyle w:val="Nadpis2"/>
        <w:numPr>
          <w:ilvl w:val="0"/>
          <w:numId w:val="2"/>
        </w:numPr>
      </w:pPr>
      <w:r>
        <w:lastRenderedPageBreak/>
        <w:t>Finančné účty</w:t>
      </w:r>
      <w:bookmarkEnd w:id="22"/>
    </w:p>
    <w:p w:rsidR="00CA441D" w:rsidRDefault="00CA441D" w:rsidP="00CA441D">
      <w:pPr>
        <w:pStyle w:val="Zkladntext"/>
      </w:pPr>
    </w:p>
    <w:p w:rsidR="00CA441D" w:rsidRDefault="00CA441D" w:rsidP="00CA441D">
      <w:pPr>
        <w:pStyle w:val="Zkladntext"/>
      </w:pPr>
      <w:r>
        <w:t>Ako finančné účty s</w:t>
      </w:r>
      <w:r w:rsidR="00F648E1">
        <w:t>ú vykázané peniaze v pokladnici a</w:t>
      </w:r>
      <w:r>
        <w:t xml:space="preserve"> účty v</w:t>
      </w:r>
      <w:r w:rsidR="00F648E1">
        <w:t> </w:t>
      </w:r>
      <w:r>
        <w:t>bankách</w:t>
      </w:r>
      <w:r w:rsidR="00F648E1">
        <w:t>.</w:t>
      </w:r>
      <w:r>
        <w:t xml:space="preserve"> Účtami v bankách môže Spoločnosť voľne disponovať</w:t>
      </w:r>
      <w:r w:rsidRPr="004E493F">
        <w:t>, okrem</w:t>
      </w:r>
      <w:r>
        <w:t xml:space="preserve"> </w:t>
      </w:r>
      <w:r w:rsidR="00AC5B1C">
        <w:t xml:space="preserve">prostriedkov uložených na </w:t>
      </w:r>
      <w:r>
        <w:t>termínov</w:t>
      </w:r>
      <w:r w:rsidR="00AC5B1C">
        <w:t>ých</w:t>
      </w:r>
      <w:r>
        <w:t xml:space="preserve"> vklad</w:t>
      </w:r>
      <w:r w:rsidR="00AC5B1C">
        <w:t>och</w:t>
      </w:r>
      <w:r w:rsidRPr="004E493F">
        <w:t>, ktorým</w:t>
      </w:r>
      <w:r w:rsidR="00AC5B1C">
        <w:t xml:space="preserve">i sa </w:t>
      </w:r>
      <w:r w:rsidRPr="004E493F">
        <w:t xml:space="preserve"> </w:t>
      </w:r>
      <w:r w:rsidR="004D76CF" w:rsidRPr="004E493F">
        <w:t xml:space="preserve">môže </w:t>
      </w:r>
      <w:r w:rsidRPr="004E493F">
        <w:t xml:space="preserve"> disponovať </w:t>
      </w:r>
      <w:r w:rsidR="00AC5B1C" w:rsidRPr="00F648E1">
        <w:rPr>
          <w:highlight w:val="yellow"/>
        </w:rPr>
        <w:t>až po uplynutí ich doby viazanosti.</w:t>
      </w:r>
      <w:r>
        <w:t xml:space="preserve"> </w:t>
      </w:r>
    </w:p>
    <w:p w:rsidR="00442157" w:rsidRDefault="00442157" w:rsidP="00CA441D">
      <w:pPr>
        <w:pStyle w:val="Zkladntext"/>
      </w:pPr>
    </w:p>
    <w:p w:rsidR="00442157" w:rsidRDefault="00442157" w:rsidP="00CA441D">
      <w:pPr>
        <w:pStyle w:val="Zkladntext"/>
      </w:pPr>
      <w:r>
        <w:t>Prehľad jednotlivých položiek finančných účtov:</w:t>
      </w:r>
    </w:p>
    <w:p w:rsidR="00442157" w:rsidRDefault="00442157" w:rsidP="00CA441D">
      <w:pPr>
        <w:pStyle w:val="Zkladntext"/>
      </w:pPr>
    </w:p>
    <w:bookmarkStart w:id="23" w:name="_MON_1393712294"/>
    <w:bookmarkEnd w:id="23"/>
    <w:p w:rsidR="00086A82" w:rsidRDefault="00A904E0" w:rsidP="00137086">
      <w:pPr>
        <w:pStyle w:val="Zkladntext"/>
      </w:pPr>
      <w:r w:rsidRPr="00003C63">
        <w:object w:dxaOrig="8993" w:dyaOrig="1886">
          <v:shape id="_x0000_i1037" type="#_x0000_t75" style="width:439.45pt;height:92.4pt" o:ole="" o:preferrelative="f">
            <v:imagedata r:id="rId38" o:title=""/>
            <o:lock v:ext="edit" aspectratio="f"/>
          </v:shape>
          <o:OLEObject Type="Embed" ProgID="Excel.Sheet.12" ShapeID="_x0000_i1037" DrawAspect="Content" ObjectID="_1427001801" r:id="rId39"/>
        </w:object>
      </w:r>
      <w:bookmarkStart w:id="24" w:name="_Toc530739906"/>
    </w:p>
    <w:p w:rsidR="00137086" w:rsidRDefault="00137086" w:rsidP="00137086">
      <w:pPr>
        <w:pStyle w:val="Zkladntext"/>
        <w:rPr>
          <w:b/>
        </w:rPr>
      </w:pPr>
    </w:p>
    <w:p w:rsidR="00CA441D" w:rsidRDefault="00CA441D" w:rsidP="00CA441D">
      <w:pPr>
        <w:pStyle w:val="Nadpis2"/>
        <w:numPr>
          <w:ilvl w:val="0"/>
          <w:numId w:val="2"/>
        </w:numPr>
      </w:pPr>
      <w:r>
        <w:t>Časové rozlíšenie</w:t>
      </w:r>
      <w:bookmarkEnd w:id="24"/>
    </w:p>
    <w:p w:rsidR="00CA441D" w:rsidRDefault="00CA441D" w:rsidP="00CA441D">
      <w:pPr>
        <w:pStyle w:val="Zkladntext"/>
      </w:pPr>
    </w:p>
    <w:p w:rsidR="00CA441D" w:rsidRDefault="00CA441D" w:rsidP="00CA441D">
      <w:pPr>
        <w:pStyle w:val="Zkladntext"/>
      </w:pPr>
      <w:r w:rsidRPr="00AC097C">
        <w:t>Ide o tieto položky:</w:t>
      </w:r>
    </w:p>
    <w:bookmarkStart w:id="25" w:name="_MON_1393713454"/>
    <w:bookmarkStart w:id="26" w:name="_MON_1393712542"/>
    <w:bookmarkStart w:id="27" w:name="_MON_1393712556"/>
    <w:bookmarkEnd w:id="25"/>
    <w:bookmarkEnd w:id="26"/>
    <w:bookmarkEnd w:id="27"/>
    <w:bookmarkStart w:id="28" w:name="_MON_1393712783"/>
    <w:bookmarkEnd w:id="28"/>
    <w:p w:rsidR="00B12204" w:rsidRDefault="00F648E1" w:rsidP="00B12204">
      <w:pPr>
        <w:pStyle w:val="Zkladntext"/>
        <w:rPr>
          <w:lang w:val="de-DE"/>
        </w:rPr>
      </w:pPr>
      <w:r w:rsidRPr="001B5855">
        <w:rPr>
          <w:lang w:val="de-DE"/>
        </w:rPr>
        <w:object w:dxaOrig="8976" w:dyaOrig="4183">
          <v:shape id="_x0000_i1038" type="#_x0000_t75" style="width:438.8pt;height:228.9pt" o:ole="" o:preferrelative="f">
            <v:imagedata r:id="rId40" o:title=""/>
            <o:lock v:ext="edit" aspectratio="f"/>
          </v:shape>
          <o:OLEObject Type="Embed" ProgID="Excel.Sheet.12" ShapeID="_x0000_i1038" DrawAspect="Content" ObjectID="_1427001802" r:id="rId41"/>
        </w:object>
      </w:r>
    </w:p>
    <w:p w:rsidR="00B12204" w:rsidRPr="004E1874" w:rsidRDefault="00B12204" w:rsidP="00B12204">
      <w:pPr>
        <w:pStyle w:val="Zkladntext"/>
        <w:rPr>
          <w:lang w:val="de-DE"/>
        </w:rPr>
      </w:pPr>
    </w:p>
    <w:p w:rsidR="004262D7" w:rsidRDefault="004262D7">
      <w:pPr>
        <w:spacing w:after="200" w:line="276" w:lineRule="auto"/>
        <w:rPr>
          <w:b/>
          <w:caps/>
          <w:sz w:val="18"/>
        </w:rPr>
      </w:pPr>
      <w:r>
        <w:br w:type="page"/>
      </w:r>
    </w:p>
    <w:p w:rsidR="00491AF0" w:rsidRDefault="00491AF0" w:rsidP="00491AF0">
      <w:pPr>
        <w:pStyle w:val="Nadpis1"/>
        <w:tabs>
          <w:tab w:val="clear" w:pos="450"/>
          <w:tab w:val="num" w:pos="360"/>
        </w:tabs>
        <w:spacing w:before="120" w:after="60"/>
        <w:ind w:left="360"/>
      </w:pPr>
      <w:r>
        <w:lastRenderedPageBreak/>
        <w:t>Informácie o údajoch na strane pasív súvahy</w:t>
      </w:r>
    </w:p>
    <w:p w:rsidR="00491AF0" w:rsidRDefault="00491AF0" w:rsidP="00491AF0">
      <w:pPr>
        <w:pStyle w:val="Zkladntext"/>
      </w:pPr>
    </w:p>
    <w:p w:rsidR="00491AF0" w:rsidRDefault="00491AF0" w:rsidP="00491AF0">
      <w:pPr>
        <w:pStyle w:val="Nadpis2"/>
        <w:numPr>
          <w:ilvl w:val="0"/>
          <w:numId w:val="20"/>
        </w:numPr>
      </w:pPr>
      <w:bookmarkStart w:id="29" w:name="_Toc530739908"/>
      <w:r>
        <w:t>Vlastné imanie</w:t>
      </w:r>
    </w:p>
    <w:p w:rsidR="00491AF0" w:rsidRDefault="00491AF0" w:rsidP="00491AF0"/>
    <w:p w:rsidR="004A4D80" w:rsidRDefault="00491AF0" w:rsidP="00491AF0">
      <w:pPr>
        <w:pStyle w:val="Zkladntext"/>
      </w:pPr>
      <w:r>
        <w:t>Informácie o vlastnom imaní sú uvedené v časti C a P.</w:t>
      </w:r>
    </w:p>
    <w:p w:rsidR="004A4D80" w:rsidRDefault="004A4D80" w:rsidP="00491AF0">
      <w:pPr>
        <w:pStyle w:val="Zkladntext"/>
      </w:pPr>
    </w:p>
    <w:p w:rsidR="004262D7" w:rsidRDefault="004262D7" w:rsidP="00491AF0">
      <w:pPr>
        <w:pStyle w:val="Zkladntext"/>
      </w:pPr>
    </w:p>
    <w:p w:rsidR="004A4D80" w:rsidRDefault="004A4D80" w:rsidP="004A4D80">
      <w:pPr>
        <w:pStyle w:val="Nadpis2"/>
        <w:numPr>
          <w:ilvl w:val="0"/>
          <w:numId w:val="20"/>
        </w:numPr>
      </w:pPr>
      <w:r>
        <w:t>Rezervy</w:t>
      </w:r>
    </w:p>
    <w:bookmarkEnd w:id="29"/>
    <w:p w:rsidR="00491AF0" w:rsidRDefault="00491AF0" w:rsidP="00491AF0">
      <w:pPr>
        <w:pStyle w:val="Zkladntext"/>
      </w:pPr>
    </w:p>
    <w:p w:rsidR="00A01B4A" w:rsidRDefault="00A01B4A" w:rsidP="00491AF0">
      <w:pPr>
        <w:pStyle w:val="Zkladntext"/>
      </w:pPr>
    </w:p>
    <w:p w:rsidR="00491AF0" w:rsidRPr="00EC0203" w:rsidRDefault="00491AF0" w:rsidP="00491AF0">
      <w:pPr>
        <w:pStyle w:val="Zkladntext"/>
      </w:pPr>
      <w:r>
        <w:t>Prehľad o rezervách za bežné účtovné obdobie je uvedený v nasledujúc</w:t>
      </w:r>
      <w:r w:rsidR="00D75116">
        <w:t>om</w:t>
      </w:r>
      <w:r>
        <w:t xml:space="preserve"> </w:t>
      </w:r>
      <w:r w:rsidR="00D75116">
        <w:t>prehľade</w:t>
      </w:r>
      <w:r>
        <w:t>:</w:t>
      </w:r>
    </w:p>
    <w:p w:rsidR="00491AF0" w:rsidRDefault="00491AF0" w:rsidP="00491AF0">
      <w:pPr>
        <w:pStyle w:val="Zkladntext"/>
        <w:jc w:val="left"/>
      </w:pPr>
    </w:p>
    <w:bookmarkStart w:id="30" w:name="_MON_1423996034"/>
    <w:bookmarkEnd w:id="30"/>
    <w:p w:rsidR="00B12204" w:rsidRDefault="00A01B4A" w:rsidP="009D0700">
      <w:pPr>
        <w:ind w:left="426"/>
      </w:pPr>
      <w:r>
        <w:object w:dxaOrig="8735" w:dyaOrig="6057">
          <v:shape id="_x0000_i1039" type="#_x0000_t75" style="width:438.8pt;height:338.95pt" o:ole="" o:preferrelative="f">
            <v:imagedata r:id="rId42" o:title=""/>
            <o:lock v:ext="edit" aspectratio="f"/>
          </v:shape>
          <o:OLEObject Type="Embed" ProgID="Excel.Sheet.12" ShapeID="_x0000_i1039" DrawAspect="Content" ObjectID="_1427001803" r:id="rId43"/>
        </w:object>
      </w:r>
    </w:p>
    <w:p w:rsidR="00491AF0" w:rsidRDefault="00491AF0" w:rsidP="00491AF0">
      <w:pPr>
        <w:pStyle w:val="Zkladntext"/>
        <w:jc w:val="left"/>
      </w:pPr>
      <w:bookmarkStart w:id="31" w:name="OLE_LINK17"/>
      <w:bookmarkStart w:id="32" w:name="OLE_LINK18"/>
    </w:p>
    <w:p w:rsidR="00491AF0" w:rsidRDefault="00491AF0" w:rsidP="00491AF0">
      <w:pPr>
        <w:rPr>
          <w:sz w:val="18"/>
        </w:rPr>
      </w:pPr>
      <w:r>
        <w:br w:type="page"/>
      </w:r>
    </w:p>
    <w:p w:rsidR="00A01B4A" w:rsidRDefault="00A01B4A" w:rsidP="00491AF0">
      <w:pPr>
        <w:pStyle w:val="Zkladntext"/>
      </w:pPr>
    </w:p>
    <w:p w:rsidR="00A01B4A" w:rsidRDefault="00A01B4A" w:rsidP="00491AF0">
      <w:pPr>
        <w:pStyle w:val="Zkladntext"/>
      </w:pPr>
    </w:p>
    <w:p w:rsidR="00491AF0" w:rsidRDefault="00491AF0" w:rsidP="00491AF0">
      <w:pPr>
        <w:pStyle w:val="Zkladntext"/>
      </w:pPr>
      <w:r>
        <w:t>Prehľad o rezervách za predchádzajúce účtovné obdobie je uvedený v nasledujúc</w:t>
      </w:r>
      <w:r w:rsidR="00076486">
        <w:t>om</w:t>
      </w:r>
      <w:r>
        <w:t xml:space="preserve"> </w:t>
      </w:r>
      <w:r w:rsidR="00076486">
        <w:t>prehľade</w:t>
      </w:r>
      <w:r>
        <w:t>:</w:t>
      </w:r>
    </w:p>
    <w:p w:rsidR="00491AF0" w:rsidRDefault="00491AF0" w:rsidP="00491AF0">
      <w:pPr>
        <w:pStyle w:val="Zkladntext"/>
        <w:jc w:val="left"/>
      </w:pPr>
    </w:p>
    <w:bookmarkStart w:id="33" w:name="_MON_1393713059"/>
    <w:bookmarkEnd w:id="33"/>
    <w:p w:rsidR="005B4970" w:rsidRDefault="00A01B4A" w:rsidP="00A01B4A">
      <w:pPr>
        <w:pStyle w:val="Zkladntext"/>
        <w:jc w:val="left"/>
      </w:pPr>
      <w:r>
        <w:object w:dxaOrig="8808" w:dyaOrig="6289">
          <v:shape id="_x0000_i1040" type="#_x0000_t75" style="width:438.1pt;height:350.5pt" o:ole="" o:preferrelative="f">
            <v:imagedata r:id="rId44" o:title=""/>
            <o:lock v:ext="edit" aspectratio="f"/>
          </v:shape>
          <o:OLEObject Type="Embed" ProgID="Excel.Sheet.12" ShapeID="_x0000_i1040" DrawAspect="Content" ObjectID="_1427001804" r:id="rId45"/>
        </w:object>
      </w:r>
      <w:bookmarkEnd w:id="31"/>
      <w:bookmarkEnd w:id="32"/>
    </w:p>
    <w:p w:rsidR="00491AF0" w:rsidRDefault="00491AF0" w:rsidP="00491AF0">
      <w:pPr>
        <w:pStyle w:val="Zkladntext"/>
      </w:pPr>
    </w:p>
    <w:p w:rsidR="00491AF0" w:rsidRPr="00F47560" w:rsidRDefault="00491AF0" w:rsidP="00491AF0">
      <w:pPr>
        <w:pStyle w:val="Zkladntext"/>
        <w:jc w:val="left"/>
        <w:rPr>
          <w:b/>
        </w:rPr>
      </w:pPr>
      <w:r w:rsidRPr="00F47560">
        <w:rPr>
          <w:b/>
        </w:rPr>
        <w:t>Nevyfakturované dodávky majetku</w:t>
      </w:r>
    </w:p>
    <w:p w:rsidR="00491AF0" w:rsidRPr="00F47560" w:rsidRDefault="00491AF0" w:rsidP="00491AF0">
      <w:pPr>
        <w:pStyle w:val="Zkladntext"/>
        <w:jc w:val="left"/>
        <w:rPr>
          <w:b/>
        </w:rPr>
      </w:pPr>
    </w:p>
    <w:p w:rsidR="00491AF0" w:rsidRPr="00D50DC3" w:rsidRDefault="00491AF0" w:rsidP="00491AF0">
      <w:pPr>
        <w:pStyle w:val="Zkladntext"/>
      </w:pPr>
      <w:r w:rsidRPr="00F47560">
        <w:t>Rezervy na nevyfakturované dodávky majetku sa nevykazujú s vplyvom na výsledok hospodárenia.</w:t>
      </w:r>
      <w:r>
        <w:t xml:space="preserve"> </w:t>
      </w:r>
    </w:p>
    <w:p w:rsidR="00491AF0" w:rsidRDefault="00491AF0" w:rsidP="00491AF0">
      <w:pPr>
        <w:pStyle w:val="Zkladntext"/>
      </w:pPr>
    </w:p>
    <w:p w:rsidR="00491AF0" w:rsidRDefault="00491AF0" w:rsidP="00491AF0">
      <w:pPr>
        <w:pStyle w:val="Nadpis2"/>
        <w:numPr>
          <w:ilvl w:val="0"/>
          <w:numId w:val="2"/>
        </w:numPr>
      </w:pPr>
      <w:bookmarkStart w:id="34" w:name="_Toc530739909"/>
      <w:r>
        <w:br w:type="page"/>
      </w:r>
      <w:r>
        <w:lastRenderedPageBreak/>
        <w:t>Záväzky</w:t>
      </w:r>
      <w:bookmarkEnd w:id="34"/>
    </w:p>
    <w:p w:rsidR="00491AF0" w:rsidRDefault="00491AF0" w:rsidP="00491AF0">
      <w:pPr>
        <w:pStyle w:val="Zkladntext"/>
      </w:pPr>
    </w:p>
    <w:p w:rsidR="00491AF0" w:rsidRDefault="00491AF0" w:rsidP="00491AF0">
      <w:pPr>
        <w:pStyle w:val="Zkladntext"/>
      </w:pPr>
      <w:r>
        <w:t>Štruktúra záväzkov (okrem bankových úverov) podľa zostatkovej doby splatnosti je uvedená v nasledujúcom prehľade:</w:t>
      </w:r>
    </w:p>
    <w:p w:rsidR="00491AF0" w:rsidRDefault="00491AF0" w:rsidP="00491AF0">
      <w:pPr>
        <w:pStyle w:val="Zkladntext"/>
      </w:pPr>
    </w:p>
    <w:bookmarkStart w:id="35" w:name="_MON_1393713302"/>
    <w:bookmarkStart w:id="36" w:name="_MON_1393713145"/>
    <w:bookmarkEnd w:id="35"/>
    <w:bookmarkEnd w:id="36"/>
    <w:bookmarkStart w:id="37" w:name="_MON_1393713242"/>
    <w:bookmarkEnd w:id="37"/>
    <w:p w:rsidR="002A7CDF" w:rsidRDefault="00B85440" w:rsidP="009D0700">
      <w:pPr>
        <w:ind w:left="426"/>
      </w:pPr>
      <w:r>
        <w:object w:dxaOrig="8914" w:dyaOrig="2839">
          <v:shape id="_x0000_i1041" type="#_x0000_t75" style="width:438.1pt;height:156.25pt" o:ole="" o:preferrelative="f">
            <v:imagedata r:id="rId46" o:title=""/>
            <o:lock v:ext="edit" aspectratio="f"/>
          </v:shape>
          <o:OLEObject Type="Embed" ProgID="Excel.Sheet.12" ShapeID="_x0000_i1041" DrawAspect="Content" ObjectID="_1427001805" r:id="rId47"/>
        </w:object>
      </w:r>
    </w:p>
    <w:p w:rsidR="00086A82" w:rsidRDefault="00086A82" w:rsidP="00491AF0">
      <w:pPr>
        <w:pStyle w:val="Zkladntext"/>
      </w:pPr>
    </w:p>
    <w:p w:rsidR="00491AF0" w:rsidRDefault="00491AF0" w:rsidP="00491AF0">
      <w:pPr>
        <w:pStyle w:val="Zkladntext"/>
      </w:pPr>
      <w:r w:rsidRPr="009310A9">
        <w:t xml:space="preserve">Spoločnosť </w:t>
      </w:r>
      <w:r w:rsidR="00940B1D">
        <w:t xml:space="preserve">nemá záväzky po dobe splatnosti </w:t>
      </w:r>
      <w:r w:rsidR="0004421F">
        <w:t xml:space="preserve">a všetky svoje finančné povinnosti </w:t>
      </w:r>
      <w:r w:rsidR="00B46AED">
        <w:t xml:space="preserve">si </w:t>
      </w:r>
      <w:r w:rsidR="0004421F">
        <w:t>plní v čase tomu určenom.</w:t>
      </w:r>
    </w:p>
    <w:p w:rsidR="00B46AED" w:rsidRDefault="00B46AED" w:rsidP="00491AF0">
      <w:pPr>
        <w:pStyle w:val="Zkladntext"/>
      </w:pPr>
    </w:p>
    <w:p w:rsidR="00B46AED" w:rsidRDefault="00B46AED" w:rsidP="005C014A">
      <w:pPr>
        <w:pStyle w:val="Zkladntext"/>
        <w:ind w:left="0"/>
      </w:pPr>
    </w:p>
    <w:p w:rsidR="00E231BA" w:rsidRDefault="00E231BA" w:rsidP="00E231BA">
      <w:pPr>
        <w:pStyle w:val="Nadpis2"/>
        <w:numPr>
          <w:ilvl w:val="0"/>
          <w:numId w:val="2"/>
        </w:numPr>
      </w:pPr>
      <w:bookmarkStart w:id="38" w:name="_Toc530739910"/>
      <w:r>
        <w:t>Odložený daňový záväzok</w:t>
      </w:r>
      <w:bookmarkEnd w:id="38"/>
    </w:p>
    <w:p w:rsidR="00E231BA" w:rsidRDefault="00E231BA" w:rsidP="00E231BA"/>
    <w:p w:rsidR="00E231BA" w:rsidRDefault="00BA7EC5" w:rsidP="00E231BA">
      <w:pPr>
        <w:pStyle w:val="Zkladntext"/>
      </w:pPr>
      <w:r>
        <w:t xml:space="preserve">Spoločnosti nevznikla povinnosť výpočtu odloženého </w:t>
      </w:r>
      <w:r w:rsidR="00E231BA">
        <w:t>daňového záväzku</w:t>
      </w:r>
      <w:r w:rsidR="00FB12EB">
        <w:t>. Odložená daňová pohľadávka</w:t>
      </w:r>
      <w:r w:rsidR="007752E5">
        <w:t xml:space="preserve"> z titulu možnosti umorovať daňovú stratu nebola z dôvodu opatrnosti vykázaná</w:t>
      </w:r>
    </w:p>
    <w:p w:rsidR="007752E5" w:rsidRDefault="007752E5" w:rsidP="00E231BA">
      <w:pPr>
        <w:pStyle w:val="Zkladntext"/>
      </w:pPr>
    </w:p>
    <w:p w:rsidR="007752E5" w:rsidRDefault="007752E5" w:rsidP="00E231BA">
      <w:pPr>
        <w:pStyle w:val="Zkladntext"/>
      </w:pPr>
    </w:p>
    <w:bookmarkStart w:id="39" w:name="_MON_1393715964"/>
    <w:bookmarkEnd w:id="39"/>
    <w:bookmarkStart w:id="40" w:name="_MON_1393716115"/>
    <w:bookmarkEnd w:id="40"/>
    <w:p w:rsidR="007752E5" w:rsidRDefault="00FB12EB" w:rsidP="00E231BA">
      <w:pPr>
        <w:pStyle w:val="Zkladntext"/>
      </w:pPr>
      <w:r>
        <w:object w:dxaOrig="8926" w:dyaOrig="5825">
          <v:shape id="_x0000_i1042" type="#_x0000_t75" style="width:446.25pt;height:292.1pt" o:ole="">
            <v:imagedata r:id="rId48" o:title=""/>
          </v:shape>
          <o:OLEObject Type="Embed" ProgID="Excel.Sheet.12" ShapeID="_x0000_i1042" DrawAspect="Content" ObjectID="_1427001806" r:id="rId49"/>
        </w:object>
      </w:r>
    </w:p>
    <w:p w:rsidR="007752E5" w:rsidRPr="007752E5" w:rsidRDefault="007752E5" w:rsidP="00E231BA">
      <w:pPr>
        <w:pStyle w:val="Zkladntext"/>
        <w:rPr>
          <w:b/>
        </w:rPr>
      </w:pPr>
    </w:p>
    <w:p w:rsidR="007752E5" w:rsidRDefault="007752E5" w:rsidP="00E231BA">
      <w:pPr>
        <w:pStyle w:val="Zkladntext"/>
      </w:pPr>
    </w:p>
    <w:p w:rsidR="007752E5" w:rsidRDefault="007752E5" w:rsidP="00E231BA">
      <w:pPr>
        <w:pStyle w:val="Zkladntext"/>
      </w:pPr>
    </w:p>
    <w:p w:rsidR="007752E5" w:rsidRDefault="007752E5" w:rsidP="00E231BA">
      <w:pPr>
        <w:pStyle w:val="Zkladntext"/>
      </w:pPr>
    </w:p>
    <w:p w:rsidR="007752E5" w:rsidRDefault="007752E5" w:rsidP="00CF4E80">
      <w:pPr>
        <w:pStyle w:val="Zkladntext"/>
        <w:ind w:left="0"/>
      </w:pPr>
    </w:p>
    <w:p w:rsidR="007752E5" w:rsidRDefault="007752E5" w:rsidP="00E231BA">
      <w:pPr>
        <w:pStyle w:val="Zkladntext"/>
      </w:pPr>
    </w:p>
    <w:p w:rsidR="00E231BA" w:rsidRDefault="00E231BA" w:rsidP="00CF4E80">
      <w:pPr>
        <w:pStyle w:val="Zkladntext"/>
        <w:ind w:left="0"/>
      </w:pPr>
    </w:p>
    <w:p w:rsidR="00E231BA" w:rsidRDefault="00E231BA" w:rsidP="00E231BA">
      <w:pPr>
        <w:pStyle w:val="Nadpis2"/>
        <w:numPr>
          <w:ilvl w:val="0"/>
          <w:numId w:val="2"/>
        </w:numPr>
      </w:pPr>
      <w:bookmarkStart w:id="41" w:name="_Toc530739911"/>
      <w:r>
        <w:lastRenderedPageBreak/>
        <w:t>Sociálny fond</w:t>
      </w:r>
      <w:bookmarkEnd w:id="41"/>
    </w:p>
    <w:p w:rsidR="00E231BA" w:rsidRDefault="00E231BA" w:rsidP="00E231BA">
      <w:pPr>
        <w:pStyle w:val="Zkladntext"/>
      </w:pPr>
    </w:p>
    <w:p w:rsidR="00E231BA" w:rsidRDefault="00E231BA" w:rsidP="00E231BA">
      <w:pPr>
        <w:pStyle w:val="Zkladntext"/>
      </w:pPr>
      <w:r>
        <w:t>Tvorba a čerpanie sociálneho fondu v priebehu účtovného obdobia sú znázornené v nasledujúcom prehľade:</w:t>
      </w:r>
    </w:p>
    <w:p w:rsidR="00E231BA" w:rsidRDefault="00E231BA" w:rsidP="00E231BA">
      <w:pPr>
        <w:pStyle w:val="Zkladntext"/>
      </w:pPr>
    </w:p>
    <w:bookmarkStart w:id="42" w:name="_MON_1393716302"/>
    <w:bookmarkEnd w:id="42"/>
    <w:p w:rsidR="00A25722" w:rsidRPr="00D16B95" w:rsidRDefault="00FB12EB" w:rsidP="00A25722">
      <w:pPr>
        <w:pStyle w:val="Zkladntext"/>
        <w:rPr>
          <w:lang w:val="de-DE"/>
        </w:rPr>
      </w:pPr>
      <w:r>
        <w:object w:dxaOrig="8914" w:dyaOrig="2805">
          <v:shape id="_x0000_i1043" type="#_x0000_t75" style="width:438.1pt;height:154.85pt" o:ole="" o:preferrelative="f">
            <v:imagedata r:id="rId50" o:title=""/>
            <o:lock v:ext="edit" aspectratio="f"/>
          </v:shape>
          <o:OLEObject Type="Embed" ProgID="Excel.Sheet.12" ShapeID="_x0000_i1043" DrawAspect="Content" ObjectID="_1427001807" r:id="rId51"/>
        </w:object>
      </w:r>
    </w:p>
    <w:p w:rsidR="00A25722" w:rsidRPr="00D16B95" w:rsidRDefault="00A25722" w:rsidP="00A25722">
      <w:pPr>
        <w:pStyle w:val="Zkladntext"/>
        <w:rPr>
          <w:color w:val="000000"/>
          <w:lang w:val="de-DE"/>
        </w:rPr>
      </w:pPr>
    </w:p>
    <w:p w:rsidR="00E231BA" w:rsidRDefault="00E231BA" w:rsidP="00E231BA">
      <w:pPr>
        <w:pStyle w:val="Zkladntext"/>
      </w:pPr>
      <w:r>
        <w:t>Časť sociálneho fondu sa podľa zákona o sociálnom fonde tvorí povinne na ťarchu nákladov a časť sa môže vytvárať zo zisku. Sociálny fond sa podľa zákona o sociálnom fonde čerpá na sociálne, zdravotné, rekreačné a iné potreby zamestnancov</w:t>
      </w:r>
      <w:r w:rsidR="00BA7EC5">
        <w:t xml:space="preserve"> podľa vnútornej smernice </w:t>
      </w:r>
      <w:r w:rsidR="003F4F79">
        <w:t xml:space="preserve">pre tvorbu a použitie sociálneho fondu </w:t>
      </w:r>
      <w:r w:rsidR="00BA7EC5">
        <w:t>a v zmysle zákona o sociálnom fonde</w:t>
      </w:r>
      <w:r>
        <w:t>.</w:t>
      </w:r>
    </w:p>
    <w:p w:rsidR="00CF4E80" w:rsidRDefault="00CF4E80" w:rsidP="00E231BA">
      <w:pPr>
        <w:pStyle w:val="Zkladntext"/>
      </w:pPr>
    </w:p>
    <w:p w:rsidR="00CF4E80" w:rsidRDefault="00CF4E80" w:rsidP="00E231BA">
      <w:pPr>
        <w:pStyle w:val="Zkladntext"/>
      </w:pPr>
    </w:p>
    <w:p w:rsidR="00CF4E80" w:rsidRDefault="00CF4E80" w:rsidP="00E231BA">
      <w:pPr>
        <w:pStyle w:val="Zkladntext"/>
      </w:pPr>
    </w:p>
    <w:p w:rsidR="00E231BA" w:rsidRDefault="00E231BA" w:rsidP="00E231BA">
      <w:pPr>
        <w:pStyle w:val="Nadpis2"/>
        <w:numPr>
          <w:ilvl w:val="0"/>
          <w:numId w:val="2"/>
        </w:numPr>
      </w:pPr>
      <w:bookmarkStart w:id="43" w:name="_Toc530739912"/>
      <w:r>
        <w:t>Bankové úvery</w:t>
      </w:r>
      <w:bookmarkEnd w:id="43"/>
    </w:p>
    <w:p w:rsidR="00E231BA" w:rsidRDefault="00E231BA" w:rsidP="00E231BA">
      <w:pPr>
        <w:pStyle w:val="Zkladntext"/>
      </w:pPr>
    </w:p>
    <w:p w:rsidR="00086A82" w:rsidRDefault="00D67432" w:rsidP="002829F9">
      <w:pPr>
        <w:pStyle w:val="Zkladntext"/>
      </w:pPr>
      <w:r>
        <w:t>Spoločnosť v roku 201</w:t>
      </w:r>
      <w:r w:rsidR="00014FF4">
        <w:t>2</w:t>
      </w:r>
      <w:r>
        <w:t xml:space="preserve"> nečerpala žiadne</w:t>
      </w:r>
      <w:r w:rsidR="00E231BA" w:rsidRPr="00BF5606">
        <w:t xml:space="preserve"> bankov</w:t>
      </w:r>
      <w:r>
        <w:t>é</w:t>
      </w:r>
      <w:r w:rsidR="00E231BA" w:rsidRPr="00BF5606">
        <w:t xml:space="preserve"> úver</w:t>
      </w:r>
      <w:r>
        <w:t>y.</w:t>
      </w:r>
    </w:p>
    <w:p w:rsidR="00E231BA" w:rsidRDefault="00E231BA" w:rsidP="00E231BA">
      <w:pPr>
        <w:pStyle w:val="Zkladntext"/>
        <w:ind w:left="0"/>
      </w:pPr>
    </w:p>
    <w:p w:rsidR="00D67432" w:rsidRDefault="00D67432" w:rsidP="00E231BA">
      <w:pPr>
        <w:pStyle w:val="Zkladntext"/>
        <w:ind w:left="0"/>
      </w:pPr>
      <w:r>
        <w:t>Spoločnosť všetky podnikateľské a rozvojové aktivity realizované v roku 201</w:t>
      </w:r>
      <w:r w:rsidR="00014FF4">
        <w:t>2</w:t>
      </w:r>
      <w:r>
        <w:t xml:space="preserve"> financovala z vlastných zdrojov.</w:t>
      </w:r>
    </w:p>
    <w:p w:rsidR="00E231BA" w:rsidRDefault="00E231BA" w:rsidP="00E231BA">
      <w:pPr>
        <w:pStyle w:val="Zkladntext"/>
        <w:ind w:left="0"/>
      </w:pPr>
    </w:p>
    <w:p w:rsidR="00D4583E" w:rsidRDefault="00D4583E">
      <w:pPr>
        <w:spacing w:after="200" w:line="276" w:lineRule="auto"/>
        <w:rPr>
          <w:b/>
          <w:sz w:val="18"/>
        </w:rPr>
      </w:pPr>
      <w:bookmarkStart w:id="44" w:name="_Toc530739913"/>
    </w:p>
    <w:p w:rsidR="00E231BA" w:rsidRDefault="009B60B7" w:rsidP="00E231BA">
      <w:pPr>
        <w:pStyle w:val="Nadpis2"/>
        <w:numPr>
          <w:ilvl w:val="0"/>
          <w:numId w:val="2"/>
        </w:numPr>
      </w:pPr>
      <w:r>
        <w:t>Č</w:t>
      </w:r>
      <w:r w:rsidR="00E231BA">
        <w:t>asové rozlíšenie</w:t>
      </w:r>
      <w:bookmarkEnd w:id="44"/>
    </w:p>
    <w:p w:rsidR="00E231BA" w:rsidRDefault="00E231BA" w:rsidP="00E231BA">
      <w:pPr>
        <w:pStyle w:val="Zkladntext"/>
      </w:pPr>
    </w:p>
    <w:p w:rsidR="00E231BA" w:rsidRDefault="005C014A" w:rsidP="00E231BA">
      <w:pPr>
        <w:pStyle w:val="Zkladntext"/>
      </w:pPr>
      <w:r>
        <w:t xml:space="preserve">Spoločnosť nemá obsahovú náplň pre </w:t>
      </w:r>
      <w:r w:rsidR="00E231BA">
        <w:t>časové</w:t>
      </w:r>
      <w:r>
        <w:t xml:space="preserve"> rozlíšenie pasív.</w:t>
      </w:r>
    </w:p>
    <w:p w:rsidR="00E231BA" w:rsidRDefault="00E231BA" w:rsidP="00E231BA">
      <w:pPr>
        <w:pStyle w:val="Zkladntext"/>
      </w:pPr>
    </w:p>
    <w:p w:rsidR="00A25722" w:rsidRPr="00423AFA" w:rsidRDefault="00A25722" w:rsidP="00A25722">
      <w:pPr>
        <w:pStyle w:val="Zkladntext"/>
      </w:pPr>
    </w:p>
    <w:p w:rsidR="00E231BA" w:rsidRDefault="003D287F" w:rsidP="00E231BA">
      <w:pPr>
        <w:pStyle w:val="Zkladntext"/>
      </w:pPr>
      <w:r>
        <w:t>Spoločnosť nedostala žiadne dotácie</w:t>
      </w:r>
      <w:r w:rsidR="00E231BA">
        <w:t xml:space="preserve"> zo štátneho rozpočtu </w:t>
      </w:r>
      <w:r>
        <w:t xml:space="preserve">ani z iných zdrojov pre </w:t>
      </w:r>
      <w:r w:rsidR="00E231BA">
        <w:t xml:space="preserve"> obstaranie dlhodobého hmotného majetku a</w:t>
      </w:r>
      <w:r>
        <w:t> rozvoj firmy a preto nie sú ani predmetom účtovania</w:t>
      </w:r>
      <w:r w:rsidR="00E231BA">
        <w:t>.</w:t>
      </w:r>
    </w:p>
    <w:p w:rsidR="007A491D" w:rsidRDefault="007A491D" w:rsidP="00E231BA">
      <w:pPr>
        <w:pStyle w:val="Zkladntext"/>
      </w:pPr>
    </w:p>
    <w:p w:rsidR="007A491D" w:rsidRDefault="007A491D" w:rsidP="00E231BA">
      <w:pPr>
        <w:pStyle w:val="Zkladntext"/>
      </w:pPr>
    </w:p>
    <w:p w:rsidR="00BC631F" w:rsidRPr="00401F9E" w:rsidRDefault="000B6195" w:rsidP="00BC631F">
      <w:pPr>
        <w:pStyle w:val="Nadpis2"/>
        <w:numPr>
          <w:ilvl w:val="0"/>
          <w:numId w:val="2"/>
        </w:numPr>
      </w:pPr>
      <w:r w:rsidRPr="00401F9E">
        <w:t>Deriváty</w:t>
      </w:r>
    </w:p>
    <w:p w:rsidR="00BC631F" w:rsidRDefault="00BC631F" w:rsidP="00BC631F">
      <w:pPr>
        <w:pStyle w:val="Zkladntext"/>
      </w:pPr>
    </w:p>
    <w:p w:rsidR="003D287F" w:rsidRDefault="006750FE" w:rsidP="003D287F">
      <w:pPr>
        <w:pStyle w:val="Nadpis2"/>
        <w:numPr>
          <w:ilvl w:val="0"/>
          <w:numId w:val="0"/>
        </w:numPr>
        <w:ind w:left="426"/>
        <w:jc w:val="both"/>
        <w:rPr>
          <w:b w:val="0"/>
        </w:rPr>
      </w:pPr>
      <w:r w:rsidRPr="001A7CD7">
        <w:rPr>
          <w:b w:val="0"/>
        </w:rPr>
        <w:t xml:space="preserve">Spoločnosť </w:t>
      </w:r>
      <w:r w:rsidR="003D287F">
        <w:rPr>
          <w:b w:val="0"/>
        </w:rPr>
        <w:t>nevyužívala vo svojej činnosti žiadne bankové deriváty</w:t>
      </w:r>
      <w:r w:rsidR="005C014A">
        <w:rPr>
          <w:b w:val="0"/>
        </w:rPr>
        <w:t>,</w:t>
      </w:r>
      <w:r w:rsidR="003D287F">
        <w:rPr>
          <w:b w:val="0"/>
        </w:rPr>
        <w:t xml:space="preserve"> ani iné finančné nástroje na zabezpečenie financovania svojej činnosti.</w:t>
      </w:r>
    </w:p>
    <w:p w:rsidR="0075139D" w:rsidRDefault="003D287F" w:rsidP="003D287F">
      <w:pPr>
        <w:pStyle w:val="Nadpis2"/>
        <w:numPr>
          <w:ilvl w:val="0"/>
          <w:numId w:val="0"/>
        </w:numPr>
        <w:ind w:left="426"/>
        <w:jc w:val="both"/>
      </w:pPr>
      <w:r>
        <w:t xml:space="preserve"> </w:t>
      </w:r>
    </w:p>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Default="005C014A" w:rsidP="005C014A"/>
    <w:p w:rsidR="005C014A" w:rsidRPr="005C014A" w:rsidRDefault="005C014A" w:rsidP="005C014A"/>
    <w:p w:rsidR="00E231BA" w:rsidRDefault="00E231BA" w:rsidP="00E231BA">
      <w:pPr>
        <w:pStyle w:val="Nadpis1"/>
        <w:tabs>
          <w:tab w:val="clear" w:pos="450"/>
          <w:tab w:val="num" w:pos="360"/>
        </w:tabs>
        <w:spacing w:before="120" w:after="60"/>
        <w:ind w:left="360"/>
      </w:pPr>
      <w:r>
        <w:lastRenderedPageBreak/>
        <w:t>informácie o výnosoch</w:t>
      </w:r>
    </w:p>
    <w:p w:rsidR="00E231BA" w:rsidRDefault="00E231BA" w:rsidP="00E231BA">
      <w:pPr>
        <w:pStyle w:val="Nadpis2"/>
        <w:numPr>
          <w:ilvl w:val="0"/>
          <w:numId w:val="0"/>
        </w:numPr>
      </w:pPr>
      <w:bookmarkStart w:id="45" w:name="_Toc530739914"/>
    </w:p>
    <w:p w:rsidR="00E231BA" w:rsidRDefault="00E231BA" w:rsidP="00294BAE">
      <w:pPr>
        <w:pStyle w:val="Nadpis2"/>
        <w:numPr>
          <w:ilvl w:val="0"/>
          <w:numId w:val="27"/>
        </w:numPr>
      </w:pPr>
      <w:r>
        <w:t>Tržby za vlastné výkony a tovar</w:t>
      </w:r>
      <w:bookmarkEnd w:id="45"/>
    </w:p>
    <w:p w:rsidR="00E231BA" w:rsidRDefault="00E231BA" w:rsidP="00E231BA">
      <w:pPr>
        <w:pStyle w:val="Zkladntext"/>
      </w:pPr>
    </w:p>
    <w:p w:rsidR="00E231BA" w:rsidRDefault="00E231BA" w:rsidP="00E231BA">
      <w:pPr>
        <w:pStyle w:val="Zkladntext"/>
      </w:pPr>
      <w:r>
        <w:t xml:space="preserve">Tržby za vlastné výkony a tovar podľa </w:t>
      </w:r>
      <w:r w:rsidR="0007172A">
        <w:t>základných činností a rozhodujúcich produktov a služieb spoločnosti sú</w:t>
      </w:r>
      <w:r>
        <w:t xml:space="preserve"> uvedené v nasledujúcom prehľade:</w:t>
      </w:r>
    </w:p>
    <w:p w:rsidR="00E231BA" w:rsidRDefault="00E231BA" w:rsidP="00E231BA">
      <w:pPr>
        <w:pStyle w:val="Zkladntext"/>
      </w:pPr>
    </w:p>
    <w:bookmarkStart w:id="46" w:name="_MON_1424514915"/>
    <w:bookmarkEnd w:id="46"/>
    <w:p w:rsidR="00F75DF5" w:rsidRDefault="0032275A" w:rsidP="00F75DF5">
      <w:pPr>
        <w:pStyle w:val="Zkladntext"/>
      </w:pPr>
      <w:r>
        <w:object w:dxaOrig="9564" w:dyaOrig="2666">
          <v:shape id="_x0000_i1044" type="#_x0000_t75" style="width:453.05pt;height:141.95pt" o:ole="" o:preferrelative="f">
            <v:imagedata r:id="rId52" o:title=""/>
            <o:lock v:ext="edit" aspectratio="f"/>
          </v:shape>
          <o:OLEObject Type="Embed" ProgID="Excel.Sheet.12" ShapeID="_x0000_i1044" DrawAspect="Content" ObjectID="_1427001808" r:id="rId53"/>
        </w:object>
      </w:r>
    </w:p>
    <w:p w:rsidR="00E231BA" w:rsidRDefault="00E231BA" w:rsidP="00E231BA">
      <w:pPr>
        <w:pStyle w:val="Zkladntext"/>
      </w:pPr>
    </w:p>
    <w:p w:rsidR="00E231BA" w:rsidRDefault="00E231BA" w:rsidP="00E231BA">
      <w:pPr>
        <w:pStyle w:val="Nadpis2"/>
        <w:numPr>
          <w:ilvl w:val="0"/>
          <w:numId w:val="2"/>
        </w:numPr>
      </w:pPr>
      <w:bookmarkStart w:id="47" w:name="_Toc530739915"/>
      <w:r>
        <w:t>Zmena stavu zásob vlastnej výroby</w:t>
      </w:r>
      <w:bookmarkEnd w:id="47"/>
    </w:p>
    <w:p w:rsidR="00E231BA" w:rsidRDefault="00E231BA" w:rsidP="00E231BA">
      <w:pPr>
        <w:pStyle w:val="Zkladntext"/>
      </w:pPr>
    </w:p>
    <w:p w:rsidR="00F71797" w:rsidRDefault="00F71797" w:rsidP="00E231BA">
      <w:pPr>
        <w:pStyle w:val="Zkladntext"/>
        <w:rPr>
          <w:szCs w:val="18"/>
        </w:rPr>
      </w:pPr>
      <w:r>
        <w:rPr>
          <w:szCs w:val="18"/>
        </w:rPr>
        <w:t>Spoločnosť má denný uzavretý výrobný cyklus z toho dôvodu nevykazuje v účtovníctve rozpracovanú výrobu, zmena stavu zásob hotových výrobkov zachytáva účtovné stavy skladu hotových výrobkov k 31.12. príslušného roku a tieto sa vždy skontrolujú fyzickou inventúrou a porovnajú s evidenčným účtovným stavom. Tento sa dokumentuje zápisom.</w:t>
      </w:r>
    </w:p>
    <w:p w:rsidR="00F71797" w:rsidRDefault="00F71797" w:rsidP="00E231BA">
      <w:pPr>
        <w:pStyle w:val="Zkladntext"/>
        <w:rPr>
          <w:szCs w:val="18"/>
        </w:rPr>
      </w:pPr>
    </w:p>
    <w:p w:rsidR="00B825EB" w:rsidRDefault="00E231BA" w:rsidP="00E231BA">
      <w:pPr>
        <w:pStyle w:val="Zkladntext"/>
      </w:pPr>
      <w:r w:rsidRPr="00BA750A">
        <w:rPr>
          <w:szCs w:val="18"/>
        </w:rPr>
        <w:t xml:space="preserve"> </w:t>
      </w:r>
      <w:bookmarkStart w:id="48" w:name="_MON_1424515412"/>
      <w:bookmarkEnd w:id="48"/>
      <w:r w:rsidR="00CF0E7B" w:rsidRPr="00003C63">
        <w:object w:dxaOrig="8816" w:dyaOrig="3978">
          <v:shape id="_x0000_i1045" type="#_x0000_t75" style="width:438.8pt;height:221.45pt" o:ole="" o:preferrelative="f">
            <v:imagedata r:id="rId54" o:title=""/>
            <o:lock v:ext="edit" aspectratio="f"/>
          </v:shape>
          <o:OLEObject Type="Embed" ProgID="Excel.Sheet.12" ShapeID="_x0000_i1045" DrawAspect="Content" ObjectID="_1427001809" r:id="rId55"/>
        </w:object>
      </w:r>
    </w:p>
    <w:p w:rsidR="001F4C8D" w:rsidRDefault="001F4C8D" w:rsidP="003340C9">
      <w:pPr>
        <w:pStyle w:val="Zkladntext"/>
      </w:pPr>
    </w:p>
    <w:p w:rsidR="003340C9" w:rsidRDefault="00E231BA" w:rsidP="003340C9">
      <w:pPr>
        <w:pStyle w:val="Zkladntext"/>
      </w:pPr>
      <w:r>
        <w:t xml:space="preserve">Rozdiel je spôsobený </w:t>
      </w:r>
      <w:r w:rsidR="00F71797">
        <w:t xml:space="preserve">obchodnými podmienkami predaja produkcie a režimom výroby, spoločnosť od roku 2010 </w:t>
      </w:r>
      <w:r w:rsidR="003340C9">
        <w:t xml:space="preserve">realizuje výrobný režim tak, že </w:t>
      </w:r>
      <w:r w:rsidR="00F71797">
        <w:t xml:space="preserve">ukončuje výrobu zvyčajne už k 20.12. </w:t>
      </w:r>
      <w:r w:rsidR="003340C9">
        <w:t xml:space="preserve">a tým sa aj stav zásob hotových výrobkov výrazne znížil. </w:t>
      </w:r>
      <w:r w:rsidR="00F71797">
        <w:t xml:space="preserve"> </w:t>
      </w:r>
      <w:bookmarkStart w:id="49" w:name="_Toc530739916"/>
    </w:p>
    <w:p w:rsidR="003340C9" w:rsidRDefault="003340C9"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CF4E80" w:rsidRDefault="00CF4E80" w:rsidP="003340C9">
      <w:pPr>
        <w:pStyle w:val="Zkladntext"/>
      </w:pPr>
    </w:p>
    <w:p w:rsidR="00E231BA" w:rsidRPr="00CF4E80" w:rsidRDefault="00E231BA" w:rsidP="003340C9">
      <w:pPr>
        <w:pStyle w:val="Zkladntext"/>
        <w:rPr>
          <w:b/>
        </w:rPr>
      </w:pPr>
      <w:r w:rsidRPr="00CF4E80">
        <w:rPr>
          <w:b/>
        </w:rPr>
        <w:lastRenderedPageBreak/>
        <w:t>Aktivácia</w:t>
      </w:r>
      <w:bookmarkEnd w:id="49"/>
      <w:r w:rsidR="00BA3FB7" w:rsidRPr="00CF4E80">
        <w:rPr>
          <w:b/>
        </w:rPr>
        <w:t xml:space="preserve"> nákladov, výnosy z hospodárskej činnosti, finančnej činnosti a mimoriadnej činnosti</w:t>
      </w:r>
    </w:p>
    <w:p w:rsidR="00E231BA" w:rsidRDefault="00E231BA" w:rsidP="00E231BA">
      <w:pPr>
        <w:pStyle w:val="Zkladntext"/>
      </w:pPr>
    </w:p>
    <w:p w:rsidR="00E231BA" w:rsidRDefault="00E231BA" w:rsidP="00E231BA">
      <w:pPr>
        <w:pStyle w:val="Zkladntext"/>
      </w:pPr>
      <w:r>
        <w:t>Prehľad o</w:t>
      </w:r>
      <w:r w:rsidR="00BA3FB7">
        <w:t> výnosoch pri </w:t>
      </w:r>
      <w:r>
        <w:t>aktiváci</w:t>
      </w:r>
      <w:r w:rsidR="00BA3FB7">
        <w:t>i nákladov, výnosoch z hospodárskej činnosti, finančnej činnosti a mimoriadnej činnosti je uvedený v nasledujúc</w:t>
      </w:r>
      <w:r w:rsidR="00B825EB">
        <w:t>om</w:t>
      </w:r>
      <w:r w:rsidR="00BA3FB7">
        <w:t xml:space="preserve"> </w:t>
      </w:r>
      <w:r w:rsidR="00B825EB">
        <w:t>prehľade</w:t>
      </w:r>
      <w:r w:rsidR="00BA3FB7">
        <w:t xml:space="preserve">: </w:t>
      </w:r>
    </w:p>
    <w:p w:rsidR="00E231BA" w:rsidRDefault="00E231BA" w:rsidP="00E231BA">
      <w:pPr>
        <w:pStyle w:val="Zkladntext"/>
      </w:pPr>
    </w:p>
    <w:bookmarkStart w:id="50" w:name="_MON_1393713998"/>
    <w:bookmarkEnd w:id="50"/>
    <w:bookmarkStart w:id="51" w:name="_MON_1393716450"/>
    <w:bookmarkEnd w:id="51"/>
    <w:p w:rsidR="00E231BA" w:rsidRDefault="006C3C80" w:rsidP="006C3C80">
      <w:pPr>
        <w:pStyle w:val="Zkladntext"/>
        <w:ind w:left="0"/>
      </w:pPr>
      <w:r w:rsidRPr="00C22B63">
        <w:object w:dxaOrig="9007" w:dyaOrig="6085">
          <v:shape id="_x0000_i1046" type="#_x0000_t75" style="width:438.1pt;height:319.25pt" o:ole="" o:preferrelative="f">
            <v:imagedata r:id="rId56" o:title=""/>
            <o:lock v:ext="edit" aspectratio="f"/>
          </v:shape>
          <o:OLEObject Type="Embed" ProgID="Excel.Sheet.12" ShapeID="_x0000_i1046" DrawAspect="Content" ObjectID="_1427001810" r:id="rId57"/>
        </w:object>
      </w:r>
    </w:p>
    <w:p w:rsidR="005C50FC" w:rsidRDefault="005C50FC" w:rsidP="001A7CD7">
      <w:pPr>
        <w:ind w:left="426"/>
        <w:jc w:val="both"/>
        <w:rPr>
          <w:sz w:val="18"/>
        </w:rPr>
      </w:pPr>
    </w:p>
    <w:p w:rsidR="00CF4E80" w:rsidRDefault="003340C9" w:rsidP="006C3C80">
      <w:pPr>
        <w:spacing w:after="200" w:line="276" w:lineRule="auto"/>
        <w:jc w:val="both"/>
        <w:rPr>
          <w:sz w:val="18"/>
          <w:szCs w:val="18"/>
        </w:rPr>
      </w:pPr>
      <w:r w:rsidRPr="00CF4E80">
        <w:rPr>
          <w:sz w:val="18"/>
          <w:szCs w:val="18"/>
        </w:rPr>
        <w:t xml:space="preserve">Spoločnosť na základe vykázaných výnosov z finančných operácií </w:t>
      </w:r>
      <w:r w:rsidR="00713C45">
        <w:rPr>
          <w:sz w:val="18"/>
          <w:szCs w:val="18"/>
        </w:rPr>
        <w:t xml:space="preserve">zodpovedne </w:t>
      </w:r>
      <w:r w:rsidR="007D659E" w:rsidRPr="00CF4E80">
        <w:rPr>
          <w:sz w:val="18"/>
          <w:szCs w:val="18"/>
        </w:rPr>
        <w:t>zhodnocuj</w:t>
      </w:r>
      <w:r w:rsidR="006C3C80">
        <w:rPr>
          <w:sz w:val="18"/>
          <w:szCs w:val="18"/>
        </w:rPr>
        <w:t xml:space="preserve">e finančné aktíva na báze </w:t>
      </w:r>
      <w:r w:rsidR="007D659E" w:rsidRPr="00CF4E80">
        <w:rPr>
          <w:sz w:val="18"/>
          <w:szCs w:val="18"/>
        </w:rPr>
        <w:t xml:space="preserve">štandardných komerčných vzťahov </w:t>
      </w:r>
      <w:r w:rsidR="00E70730" w:rsidRPr="00CF4E80">
        <w:rPr>
          <w:sz w:val="18"/>
          <w:szCs w:val="18"/>
        </w:rPr>
        <w:t>s</w:t>
      </w:r>
      <w:r w:rsidR="00713C45">
        <w:rPr>
          <w:sz w:val="18"/>
          <w:szCs w:val="18"/>
        </w:rPr>
        <w:t> podporou spolupracujúcej</w:t>
      </w:r>
      <w:r w:rsidR="007D659E" w:rsidRPr="00CF4E80">
        <w:rPr>
          <w:sz w:val="18"/>
          <w:szCs w:val="18"/>
        </w:rPr>
        <w:t xml:space="preserve"> finančn</w:t>
      </w:r>
      <w:r w:rsidR="00713C45">
        <w:rPr>
          <w:sz w:val="18"/>
          <w:szCs w:val="18"/>
        </w:rPr>
        <w:t>ej</w:t>
      </w:r>
      <w:r w:rsidR="007D659E" w:rsidRPr="00CF4E80">
        <w:rPr>
          <w:sz w:val="18"/>
          <w:szCs w:val="18"/>
        </w:rPr>
        <w:t xml:space="preserve"> inštitúci</w:t>
      </w:r>
      <w:r w:rsidR="00713C45">
        <w:rPr>
          <w:sz w:val="18"/>
          <w:szCs w:val="18"/>
        </w:rPr>
        <w:t>e</w:t>
      </w:r>
      <w:r w:rsidR="007D659E" w:rsidRPr="00CF4E80">
        <w:rPr>
          <w:sz w:val="18"/>
          <w:szCs w:val="18"/>
        </w:rPr>
        <w:t>.</w:t>
      </w:r>
    </w:p>
    <w:p w:rsidR="00CF4E80" w:rsidRDefault="00CF4E80">
      <w:pPr>
        <w:spacing w:after="200" w:line="276" w:lineRule="auto"/>
        <w:rPr>
          <w:sz w:val="18"/>
          <w:szCs w:val="18"/>
        </w:rPr>
      </w:pPr>
    </w:p>
    <w:p w:rsidR="005C50FC" w:rsidRDefault="005C50FC" w:rsidP="005C50FC">
      <w:pPr>
        <w:pStyle w:val="Nadpis2"/>
        <w:numPr>
          <w:ilvl w:val="0"/>
          <w:numId w:val="2"/>
        </w:numPr>
      </w:pPr>
      <w:r>
        <w:t xml:space="preserve">Čistý obrat </w:t>
      </w:r>
    </w:p>
    <w:p w:rsidR="005C50FC" w:rsidRDefault="005C50FC" w:rsidP="005C50FC">
      <w:pPr>
        <w:pStyle w:val="Zkladntext"/>
      </w:pPr>
    </w:p>
    <w:p w:rsidR="005C50FC" w:rsidRDefault="005C50FC" w:rsidP="006C3C80">
      <w:pPr>
        <w:pStyle w:val="Zkladntext"/>
        <w:ind w:left="142"/>
      </w:pPr>
      <w:r>
        <w:t xml:space="preserve">Čistý obrat </w:t>
      </w:r>
      <w:r w:rsidR="00351AE8">
        <w:t>s</w:t>
      </w:r>
      <w:r>
        <w:t xml:space="preserve">poločnosti </w:t>
      </w:r>
      <w:r w:rsidR="00351AE8">
        <w:t>pre</w:t>
      </w:r>
      <w:r w:rsidR="00B825EB">
        <w:t xml:space="preserve"> </w:t>
      </w:r>
      <w:r>
        <w:t>účely</w:t>
      </w:r>
      <w:r w:rsidR="00BF5CA9">
        <w:t xml:space="preserve"> zistenia povinnosti overenia individuálnej účtovnej závierky audítorom</w:t>
      </w:r>
      <w:r>
        <w:t xml:space="preserve"> </w:t>
      </w:r>
      <w:r w:rsidR="000F40C4">
        <w:t>[</w:t>
      </w:r>
      <w:r w:rsidRPr="00F85E30">
        <w:t>§ 19 ods. 1 písm. a) zákona o</w:t>
      </w:r>
      <w:r w:rsidR="000F40C4">
        <w:t> </w:t>
      </w:r>
      <w:r w:rsidRPr="00F85E30">
        <w:t>účtovníctve</w:t>
      </w:r>
      <w:r w:rsidR="000F40C4">
        <w:t>]</w:t>
      </w:r>
      <w:r w:rsidRPr="00F85E30">
        <w:t xml:space="preserve"> </w:t>
      </w:r>
      <w:r>
        <w:t>je uvedený v nasledujúcom prehľade:</w:t>
      </w:r>
    </w:p>
    <w:p w:rsidR="005C50FC" w:rsidRDefault="005C50FC" w:rsidP="005C50FC">
      <w:pPr>
        <w:pStyle w:val="Zkladntext"/>
      </w:pPr>
    </w:p>
    <w:p w:rsidR="005C50FC" w:rsidRDefault="005C50FC" w:rsidP="005C50FC">
      <w:pPr>
        <w:pStyle w:val="Zkladntext"/>
      </w:pPr>
    </w:p>
    <w:bookmarkStart w:id="52" w:name="_MON_1424516366"/>
    <w:bookmarkEnd w:id="52"/>
    <w:p w:rsidR="0000290B" w:rsidRDefault="006C3C80" w:rsidP="006C3C80">
      <w:pPr>
        <w:pStyle w:val="Zkladntext"/>
        <w:ind w:left="0"/>
      </w:pPr>
      <w:r>
        <w:object w:dxaOrig="8668" w:dyaOrig="2362">
          <v:shape id="_x0000_i1047" type="#_x0000_t75" style="width:438.1pt;height:133.15pt" o:ole="" o:preferrelative="f">
            <v:imagedata r:id="rId58" o:title=""/>
            <o:lock v:ext="edit" aspectratio="f"/>
          </v:shape>
          <o:OLEObject Type="Embed" ProgID="Excel.Sheet.12" ShapeID="_x0000_i1047" DrawAspect="Content" ObjectID="_1427001811" r:id="rId59"/>
        </w:object>
      </w:r>
      <w:r w:rsidR="0000290B">
        <w:br w:type="page"/>
      </w:r>
    </w:p>
    <w:p w:rsidR="0000290B" w:rsidRDefault="0000290B" w:rsidP="0000290B">
      <w:pPr>
        <w:pStyle w:val="Nadpis1"/>
        <w:tabs>
          <w:tab w:val="clear" w:pos="450"/>
          <w:tab w:val="num" w:pos="360"/>
        </w:tabs>
        <w:spacing w:before="120" w:after="60"/>
        <w:ind w:left="360"/>
      </w:pPr>
      <w:r>
        <w:lastRenderedPageBreak/>
        <w:t>Informácie o nákladoch</w:t>
      </w:r>
    </w:p>
    <w:p w:rsidR="0000290B" w:rsidRDefault="0000290B" w:rsidP="0000290B">
      <w:pPr>
        <w:pStyle w:val="Zkladntext"/>
      </w:pPr>
    </w:p>
    <w:p w:rsidR="0000290B" w:rsidRDefault="0000290B" w:rsidP="00294BAE">
      <w:pPr>
        <w:pStyle w:val="Nadpis2"/>
        <w:numPr>
          <w:ilvl w:val="0"/>
          <w:numId w:val="26"/>
        </w:numPr>
      </w:pPr>
      <w:r>
        <w:t>Náklady na poskytnuté služby</w:t>
      </w:r>
      <w:r w:rsidR="009458E0">
        <w:t xml:space="preserve">, ostatné náklady na hospodársku činnosť, finančné a mimoriadne náklady </w:t>
      </w:r>
    </w:p>
    <w:p w:rsidR="0000290B" w:rsidRDefault="0000290B" w:rsidP="0000290B"/>
    <w:p w:rsidR="0000290B" w:rsidRDefault="0000290B" w:rsidP="0000290B">
      <w:pPr>
        <w:pStyle w:val="Zkladntext"/>
      </w:pPr>
      <w:r w:rsidRPr="00BF5606">
        <w:t xml:space="preserve">Prehľad o nákladoch na </w:t>
      </w:r>
      <w:r w:rsidR="00EF158E">
        <w:t xml:space="preserve">výrobu a </w:t>
      </w:r>
      <w:r w:rsidRPr="00BF5606">
        <w:t>poskytnuté služby</w:t>
      </w:r>
      <w:r w:rsidR="009458E0">
        <w:t>, ostatných nákladoch na hospodársku činnosť, finančných a mimoriadnych nákladoch</w:t>
      </w:r>
      <w:r w:rsidRPr="00BF5606">
        <w:t>:</w:t>
      </w:r>
    </w:p>
    <w:p w:rsidR="0000290B" w:rsidRDefault="0000290B" w:rsidP="0000290B">
      <w:pPr>
        <w:pStyle w:val="Nadpis2"/>
        <w:numPr>
          <w:ilvl w:val="0"/>
          <w:numId w:val="0"/>
        </w:numPr>
        <w:ind w:left="426"/>
      </w:pPr>
    </w:p>
    <w:bookmarkStart w:id="53" w:name="_MON_1424516631"/>
    <w:bookmarkEnd w:id="53"/>
    <w:p w:rsidR="009458E0" w:rsidRDefault="00F970DC" w:rsidP="0000290B">
      <w:pPr>
        <w:pStyle w:val="Zkladntext"/>
      </w:pPr>
      <w:r>
        <w:object w:dxaOrig="8768" w:dyaOrig="6883">
          <v:shape id="_x0000_i1048" type="#_x0000_t75" style="width:439.45pt;height:384.45pt" o:ole="" o:preferrelative="f">
            <v:imagedata r:id="rId60" o:title=""/>
            <o:lock v:ext="edit" aspectratio="f"/>
          </v:shape>
          <o:OLEObject Type="Embed" ProgID="Excel.Sheet.12" ShapeID="_x0000_i1048" DrawAspect="Content" ObjectID="_1427001812" r:id="rId61"/>
        </w:object>
      </w:r>
    </w:p>
    <w:p w:rsidR="0000290B" w:rsidRDefault="0000290B" w:rsidP="0000290B">
      <w:pPr>
        <w:pStyle w:val="Zkladntext"/>
      </w:pPr>
    </w:p>
    <w:p w:rsidR="0000290B" w:rsidRDefault="0000290B" w:rsidP="00F970DC">
      <w:pPr>
        <w:pStyle w:val="Zkladntext"/>
        <w:ind w:left="0"/>
      </w:pPr>
    </w:p>
    <w:p w:rsidR="0000290B" w:rsidRDefault="0000290B" w:rsidP="0000290B">
      <w:pPr>
        <w:pStyle w:val="Zkladntext"/>
      </w:pPr>
    </w:p>
    <w:p w:rsidR="0000290B" w:rsidRDefault="0000290B" w:rsidP="0000290B">
      <w:pPr>
        <w:pStyle w:val="Nadpis1"/>
        <w:tabs>
          <w:tab w:val="clear" w:pos="450"/>
          <w:tab w:val="num" w:pos="360"/>
        </w:tabs>
        <w:spacing w:before="120" w:after="60"/>
        <w:ind w:left="360"/>
      </w:pPr>
      <w:r>
        <w:t>Informácie o daniach z príjmov</w:t>
      </w:r>
    </w:p>
    <w:p w:rsidR="0000290B" w:rsidRDefault="0000290B" w:rsidP="0000290B">
      <w:pPr>
        <w:pStyle w:val="Zkladntext"/>
      </w:pPr>
    </w:p>
    <w:p w:rsidR="0000290B" w:rsidRDefault="0000290B" w:rsidP="0000290B">
      <w:pPr>
        <w:pStyle w:val="Zkladntext"/>
      </w:pPr>
      <w:r>
        <w:t>Prevod od teoretickej dane z príjmov k vykázanej dani z príjmov je uvedený v nasledujúcom prehľade:</w:t>
      </w:r>
    </w:p>
    <w:p w:rsidR="0000290B" w:rsidRDefault="0000290B" w:rsidP="0000290B">
      <w:pPr>
        <w:pStyle w:val="Zkladntext"/>
      </w:pPr>
    </w:p>
    <w:bookmarkStart w:id="54" w:name="_MON_1393717995"/>
    <w:bookmarkStart w:id="55" w:name="_MON_1393718222"/>
    <w:bookmarkStart w:id="56" w:name="_MON_1393714442"/>
    <w:bookmarkStart w:id="57" w:name="_MON_1393717503"/>
    <w:bookmarkStart w:id="58" w:name="_MON_1393717673"/>
    <w:bookmarkEnd w:id="54"/>
    <w:bookmarkEnd w:id="55"/>
    <w:bookmarkEnd w:id="56"/>
    <w:bookmarkEnd w:id="57"/>
    <w:bookmarkEnd w:id="58"/>
    <w:bookmarkStart w:id="59" w:name="_MON_1393717690"/>
    <w:bookmarkEnd w:id="59"/>
    <w:p w:rsidR="009226CD" w:rsidRDefault="00A42674" w:rsidP="0000290B">
      <w:pPr>
        <w:pStyle w:val="Zkladntext"/>
      </w:pPr>
      <w:r w:rsidRPr="00003C63">
        <w:object w:dxaOrig="9064" w:dyaOrig="4452">
          <v:shape id="_x0000_i1049" type="#_x0000_t75" style="width:438.1pt;height:230.25pt" o:ole="" o:preferrelative="f">
            <v:imagedata r:id="rId62" o:title=""/>
            <o:lock v:ext="edit" aspectratio="f"/>
          </v:shape>
          <o:OLEObject Type="Embed" ProgID="Excel.Sheet.12" ShapeID="_x0000_i1049" DrawAspect="Content" ObjectID="_1427001813" r:id="rId63"/>
        </w:object>
      </w:r>
    </w:p>
    <w:p w:rsidR="00F970DC" w:rsidRDefault="00F970DC" w:rsidP="0000290B">
      <w:pPr>
        <w:pStyle w:val="Zkladntext"/>
      </w:pPr>
    </w:p>
    <w:p w:rsidR="00F970DC" w:rsidRDefault="00F970DC" w:rsidP="0000290B">
      <w:pPr>
        <w:pStyle w:val="Zkladntext"/>
      </w:pPr>
    </w:p>
    <w:p w:rsidR="00F970DC" w:rsidRDefault="00F970DC" w:rsidP="0000290B">
      <w:pPr>
        <w:pStyle w:val="Zkladntext"/>
      </w:pPr>
    </w:p>
    <w:p w:rsidR="00FF7320" w:rsidRDefault="00922CED" w:rsidP="00922CED">
      <w:pPr>
        <w:pStyle w:val="Zkladntext"/>
        <w:ind w:left="0" w:firstLine="426"/>
      </w:pPr>
      <w:r>
        <w:t>Ďalšie informácie k odloženým daniam</w:t>
      </w:r>
    </w:p>
    <w:p w:rsidR="00FF7320" w:rsidRDefault="00FF7320" w:rsidP="0000290B">
      <w:pPr>
        <w:pStyle w:val="Zkladntext"/>
      </w:pPr>
    </w:p>
    <w:p w:rsidR="00FF7320" w:rsidRDefault="00FF7320" w:rsidP="0000290B">
      <w:pPr>
        <w:pStyle w:val="Zkladntext"/>
      </w:pPr>
    </w:p>
    <w:bookmarkStart w:id="60" w:name="_MON_1393717942"/>
    <w:bookmarkStart w:id="61" w:name="_MON_1393718303"/>
    <w:bookmarkStart w:id="62" w:name="_MON_1393717895"/>
    <w:bookmarkEnd w:id="60"/>
    <w:bookmarkEnd w:id="61"/>
    <w:bookmarkEnd w:id="62"/>
    <w:bookmarkStart w:id="63" w:name="_MON_1393717925"/>
    <w:bookmarkEnd w:id="63"/>
    <w:p w:rsidR="00F709E2" w:rsidRPr="00555FAD" w:rsidRDefault="00E45943" w:rsidP="0000290B">
      <w:pPr>
        <w:pStyle w:val="Zkladntext"/>
      </w:pPr>
      <w:r>
        <w:object w:dxaOrig="9052" w:dyaOrig="5672">
          <v:shape id="_x0000_i1050" type="#_x0000_t75" style="width:438.1pt;height:306.35pt" o:ole="" o:preferrelative="f">
            <v:imagedata r:id="rId64" o:title=""/>
            <o:lock v:ext="edit" aspectratio="f"/>
          </v:shape>
          <o:OLEObject Type="Embed" ProgID="Excel.Sheet.12" ShapeID="_x0000_i1050" DrawAspect="Content" ObjectID="_1427001814" r:id="rId65"/>
        </w:object>
      </w:r>
    </w:p>
    <w:p w:rsidR="00CB3140" w:rsidRDefault="00CB3140" w:rsidP="00CB3140">
      <w:pPr>
        <w:pStyle w:val="Zkladntext"/>
        <w:rPr>
          <w:lang w:val="de-DE"/>
        </w:rPr>
      </w:pPr>
    </w:p>
    <w:p w:rsidR="00627B6C" w:rsidRDefault="00627B6C">
      <w:pPr>
        <w:spacing w:after="200" w:line="276" w:lineRule="auto"/>
        <w:rPr>
          <w:b/>
          <w:caps/>
          <w:sz w:val="18"/>
        </w:rPr>
      </w:pPr>
      <w:r>
        <w:br w:type="page"/>
      </w:r>
    </w:p>
    <w:p w:rsidR="0000290B" w:rsidRDefault="0000290B" w:rsidP="0000290B">
      <w:pPr>
        <w:pStyle w:val="Nadpis1"/>
        <w:tabs>
          <w:tab w:val="clear" w:pos="450"/>
          <w:tab w:val="num" w:pos="360"/>
        </w:tabs>
        <w:spacing w:before="120" w:after="60"/>
        <w:ind w:left="360"/>
      </w:pPr>
      <w:r>
        <w:lastRenderedPageBreak/>
        <w:t>Informácie o údajoch na podsúvahových  účtoch</w:t>
      </w:r>
    </w:p>
    <w:p w:rsidR="0000290B" w:rsidRDefault="0000290B" w:rsidP="0000290B">
      <w:pPr>
        <w:pStyle w:val="Zkladntext"/>
      </w:pPr>
    </w:p>
    <w:p w:rsidR="0000290B" w:rsidRDefault="0000290B" w:rsidP="002F770F">
      <w:pPr>
        <w:pStyle w:val="Nadpis2"/>
        <w:numPr>
          <w:ilvl w:val="0"/>
          <w:numId w:val="28"/>
        </w:numPr>
      </w:pPr>
      <w:bookmarkStart w:id="64" w:name="_Toc530739920"/>
      <w:r>
        <w:t>Najatý majetok</w:t>
      </w:r>
      <w:bookmarkEnd w:id="64"/>
    </w:p>
    <w:p w:rsidR="0000290B" w:rsidRDefault="0000290B" w:rsidP="0000290B">
      <w:pPr>
        <w:pStyle w:val="Zkladntext"/>
      </w:pPr>
    </w:p>
    <w:p w:rsidR="0000290B" w:rsidRDefault="0000290B" w:rsidP="0000290B">
      <w:pPr>
        <w:pStyle w:val="Zkladntext"/>
      </w:pPr>
      <w:bookmarkStart w:id="65" w:name="OLE_LINK1"/>
      <w:bookmarkStart w:id="66" w:name="OLE_LINK2"/>
      <w:r>
        <w:t xml:space="preserve">Spoločnosť </w:t>
      </w:r>
      <w:r w:rsidR="00FF7320">
        <w:t>ne</w:t>
      </w:r>
      <w:r>
        <w:t xml:space="preserve">má </w:t>
      </w:r>
      <w:r w:rsidR="00FF7320">
        <w:t>evidovaný žiaden majetok na podsúvahových účtoch.</w:t>
      </w:r>
      <w:bookmarkEnd w:id="65"/>
      <w:bookmarkEnd w:id="66"/>
    </w:p>
    <w:p w:rsidR="0000290B" w:rsidRDefault="0000290B" w:rsidP="0000290B">
      <w:pPr>
        <w:pStyle w:val="Zkladntext"/>
      </w:pPr>
    </w:p>
    <w:p w:rsidR="0000290B" w:rsidRDefault="0000290B" w:rsidP="0000290B">
      <w:pPr>
        <w:pStyle w:val="Nadpis2"/>
      </w:pPr>
      <w:r>
        <w:t>Prenajatý majetok</w:t>
      </w:r>
    </w:p>
    <w:p w:rsidR="0000290B" w:rsidRDefault="0000290B" w:rsidP="0000290B">
      <w:pPr>
        <w:pStyle w:val="Zkladntext"/>
      </w:pPr>
    </w:p>
    <w:p w:rsidR="00FF7320" w:rsidRDefault="0000290B" w:rsidP="00FF7320">
      <w:pPr>
        <w:pStyle w:val="Zkladntext"/>
      </w:pPr>
      <w:r>
        <w:t xml:space="preserve">Spoločnosť </w:t>
      </w:r>
      <w:r w:rsidR="00FF7320">
        <w:t>na svoju činnosť používa výlučne svoj majetok, ktorý má vo vlastníctve s evidenciou na príslušných inštitúciách podľa charakteru majetku a pravidiel jeho evidencie. Prebytočné kancelárske kapacity v penzióne APROPO a v sídle spoločnosti spoločnosť prenajíma na základe uzatvorených nájomných zmlúv iným podnikateľským subjektom.</w:t>
      </w:r>
    </w:p>
    <w:p w:rsidR="00FF7320" w:rsidRDefault="00FF7320" w:rsidP="00FF7320">
      <w:pPr>
        <w:pStyle w:val="Zkladntext"/>
      </w:pPr>
    </w:p>
    <w:p w:rsidR="00283139" w:rsidRDefault="00283139" w:rsidP="0000290B">
      <w:pPr>
        <w:pStyle w:val="Zkladntext"/>
      </w:pPr>
    </w:p>
    <w:p w:rsidR="0000290B" w:rsidRDefault="0000290B" w:rsidP="0000290B">
      <w:pPr>
        <w:pStyle w:val="Nadpis1"/>
        <w:tabs>
          <w:tab w:val="clear" w:pos="450"/>
          <w:tab w:val="num" w:pos="360"/>
        </w:tabs>
        <w:spacing w:before="120" w:after="60"/>
        <w:ind w:left="360"/>
      </w:pPr>
      <w:r>
        <w:t>Informácie o iných aktívach a iných pasívach</w:t>
      </w:r>
    </w:p>
    <w:p w:rsidR="0000290B" w:rsidRDefault="0000290B" w:rsidP="0000290B">
      <w:pPr>
        <w:pStyle w:val="Zkladntext"/>
        <w:ind w:left="0"/>
      </w:pPr>
    </w:p>
    <w:p w:rsidR="0000290B" w:rsidRDefault="0000290B" w:rsidP="002F770F">
      <w:pPr>
        <w:pStyle w:val="Nadpis2"/>
        <w:numPr>
          <w:ilvl w:val="0"/>
          <w:numId w:val="29"/>
        </w:numPr>
      </w:pPr>
      <w:bookmarkStart w:id="67" w:name="_Toc530739921"/>
      <w:r>
        <w:t>Podmienené záväzky</w:t>
      </w:r>
      <w:bookmarkEnd w:id="67"/>
    </w:p>
    <w:p w:rsidR="0000290B" w:rsidRDefault="0000290B" w:rsidP="0000290B">
      <w:pPr>
        <w:pStyle w:val="Zkladntext"/>
      </w:pPr>
    </w:p>
    <w:p w:rsidR="0000290B" w:rsidRDefault="0000290B" w:rsidP="0000290B">
      <w:pPr>
        <w:pStyle w:val="Zkladntext"/>
      </w:pPr>
      <w:r>
        <w:t xml:space="preserve">Spoločnosť </w:t>
      </w:r>
      <w:r w:rsidR="00FF7320">
        <w:t>ne</w:t>
      </w:r>
      <w:r>
        <w:t xml:space="preserve">má </w:t>
      </w:r>
      <w:r w:rsidR="00FF7320">
        <w:t xml:space="preserve">žiadne </w:t>
      </w:r>
      <w:r>
        <w:t xml:space="preserve"> podmienené záväzky, ktoré </w:t>
      </w:r>
      <w:r w:rsidR="00FF7320">
        <w:t xml:space="preserve">by </w:t>
      </w:r>
      <w:r>
        <w:t>sa nesled</w:t>
      </w:r>
      <w:r w:rsidR="00FF7320">
        <w:t>ovali</w:t>
      </w:r>
      <w:r>
        <w:t xml:space="preserve"> v bežnom účtovníctve a neuvádza</w:t>
      </w:r>
      <w:r w:rsidR="00FF7320">
        <w:t>li</w:t>
      </w:r>
      <w:r>
        <w:t xml:space="preserve"> v súvahe:</w:t>
      </w:r>
    </w:p>
    <w:p w:rsidR="0000290B" w:rsidRDefault="0000290B" w:rsidP="0000290B">
      <w:pPr>
        <w:pStyle w:val="Zkladntext"/>
      </w:pPr>
    </w:p>
    <w:p w:rsidR="0000290B" w:rsidRDefault="0000290B" w:rsidP="0000290B">
      <w:pPr>
        <w:pStyle w:val="Zkladntext"/>
      </w:pPr>
      <w:r>
        <w:t xml:space="preserve">Vzhľadom na to, že mnohé oblasti slovenského daňového práva doteraz neboli dostatočne overené praxou, existuje neistota v tom, ako </w:t>
      </w:r>
      <w:r w:rsidR="00FF7320">
        <w:t xml:space="preserve">by </w:t>
      </w:r>
      <w:r w:rsidR="004D5AEE">
        <w:t xml:space="preserve">ich </w:t>
      </w:r>
      <w:r w:rsidR="00FF7320">
        <w:t xml:space="preserve">v prípade </w:t>
      </w:r>
      <w:r>
        <w:t xml:space="preserve">ich </w:t>
      </w:r>
      <w:r w:rsidR="00FF7320">
        <w:t>existencie</w:t>
      </w:r>
      <w:r>
        <w:t xml:space="preserve"> daňové orgány aplikova</w:t>
      </w:r>
      <w:r w:rsidR="00FF7320">
        <w:t>li</w:t>
      </w:r>
      <w:r>
        <w:t xml:space="preserve">. Mieru tejto neistoty nie je možné kvantifikovať a zanikne až potom, keď budú k dispozícii právne precedensy, prípadne oficiálne interpretácie príslušných </w:t>
      </w:r>
      <w:r w:rsidR="004D5AEE">
        <w:t xml:space="preserve">finančných </w:t>
      </w:r>
      <w:r>
        <w:t>orgánov.</w:t>
      </w:r>
    </w:p>
    <w:p w:rsidR="0017267A" w:rsidRDefault="0017267A">
      <w:pPr>
        <w:spacing w:after="200" w:line="276" w:lineRule="auto"/>
        <w:rPr>
          <w:sz w:val="18"/>
        </w:rPr>
      </w:pPr>
    </w:p>
    <w:p w:rsidR="0000290B" w:rsidRDefault="0000290B" w:rsidP="0000290B">
      <w:pPr>
        <w:pStyle w:val="Nadpis2"/>
        <w:numPr>
          <w:ilvl w:val="0"/>
          <w:numId w:val="2"/>
        </w:numPr>
      </w:pPr>
      <w:bookmarkStart w:id="68" w:name="_Toc530739922"/>
      <w:r>
        <w:t>Ostatné finančné povinnosti</w:t>
      </w:r>
      <w:bookmarkEnd w:id="68"/>
    </w:p>
    <w:p w:rsidR="0000290B" w:rsidRDefault="0000290B" w:rsidP="0000290B">
      <w:pPr>
        <w:pStyle w:val="Zkladntext"/>
      </w:pPr>
    </w:p>
    <w:p w:rsidR="0000290B" w:rsidRDefault="004D5AEE" w:rsidP="0000290B">
      <w:pPr>
        <w:pStyle w:val="Zkladntext"/>
      </w:pPr>
      <w:r>
        <w:t xml:space="preserve">Spoločnosť </w:t>
      </w:r>
      <w:r w:rsidR="00F02AA7">
        <w:t>nemá</w:t>
      </w:r>
      <w:r>
        <w:t xml:space="preserve"> </w:t>
      </w:r>
      <w:r w:rsidR="0000290B">
        <w:t>finančné povinnosti, ktoré sa nesledujú v bežnom účtovníctve a neuvádzajú v súvahe</w:t>
      </w:r>
      <w:r>
        <w:t xml:space="preserve">. </w:t>
      </w:r>
    </w:p>
    <w:p w:rsidR="0000290B" w:rsidRDefault="0000290B" w:rsidP="0000290B">
      <w:pPr>
        <w:pStyle w:val="Zkladntext"/>
      </w:pPr>
    </w:p>
    <w:p w:rsidR="00F02AA7" w:rsidRDefault="00F02AA7" w:rsidP="0000290B">
      <w:pPr>
        <w:pStyle w:val="Zkladntext"/>
      </w:pPr>
    </w:p>
    <w:p w:rsidR="0000290B" w:rsidRDefault="0000290B" w:rsidP="0000290B">
      <w:pPr>
        <w:pStyle w:val="Nadpis2"/>
        <w:numPr>
          <w:ilvl w:val="0"/>
          <w:numId w:val="2"/>
        </w:numPr>
      </w:pPr>
      <w:r>
        <w:t>Podmienený majetok</w:t>
      </w:r>
    </w:p>
    <w:p w:rsidR="0000290B" w:rsidRPr="00DB0ECB" w:rsidRDefault="0000290B" w:rsidP="0000290B"/>
    <w:p w:rsidR="0000290B" w:rsidRDefault="0000290B" w:rsidP="0000290B">
      <w:pPr>
        <w:pStyle w:val="Zkladntext"/>
      </w:pPr>
      <w:r>
        <w:t xml:space="preserve">Spoločnosť </w:t>
      </w:r>
      <w:r w:rsidR="004D5AEE">
        <w:t>neregistruje a nemá ani vedomosť o tom, že by mala nejaký podmienený majetok.</w:t>
      </w:r>
      <w:r>
        <w:t xml:space="preserve"> </w:t>
      </w:r>
    </w:p>
    <w:p w:rsidR="0000290B" w:rsidRDefault="0000290B" w:rsidP="0000290B">
      <w:pPr>
        <w:pStyle w:val="Zkladntext"/>
        <w:ind w:left="0"/>
      </w:pPr>
    </w:p>
    <w:p w:rsidR="00627B6C" w:rsidRDefault="00627B6C" w:rsidP="00F02AA7">
      <w:pPr>
        <w:pStyle w:val="Zkladntext"/>
        <w:ind w:left="0"/>
      </w:pPr>
    </w:p>
    <w:p w:rsidR="0000290B" w:rsidRDefault="0000290B" w:rsidP="0000290B">
      <w:pPr>
        <w:pStyle w:val="Nadpis1"/>
        <w:tabs>
          <w:tab w:val="clear" w:pos="450"/>
          <w:tab w:val="num" w:pos="360"/>
        </w:tabs>
        <w:spacing w:before="120" w:after="60"/>
        <w:ind w:left="360"/>
      </w:pPr>
      <w:bookmarkStart w:id="69" w:name="_Toc530739923"/>
      <w:r>
        <w:t>Informácie o príjmoch a výhodách členov štatutárnych orgánov, dozorných orgánov</w:t>
      </w:r>
      <w:bookmarkEnd w:id="69"/>
      <w:r>
        <w:t xml:space="preserve"> a iných orgánov účtovnej jednotky</w:t>
      </w:r>
    </w:p>
    <w:p w:rsidR="0000290B" w:rsidRDefault="0000290B" w:rsidP="0000290B">
      <w:pPr>
        <w:pStyle w:val="Zkladntext"/>
      </w:pPr>
    </w:p>
    <w:p w:rsidR="0000290B" w:rsidRDefault="004D5AEE" w:rsidP="0000290B">
      <w:pPr>
        <w:pStyle w:val="Zkladntext"/>
      </w:pPr>
      <w:r>
        <w:t>Členovia štatutárnych orgánov spoločnosti nie sú zvlášť odmeňovaný ich finančné ohodnotenie je viazané na čistý zisk spoločnosti a odmeny sa realizujú prostre</w:t>
      </w:r>
      <w:r w:rsidR="00887821">
        <w:t>dn</w:t>
      </w:r>
      <w:r>
        <w:t xml:space="preserve">íctvom tantiém </w:t>
      </w:r>
      <w:r w:rsidR="00887821">
        <w:t>schválených valným zhromaždením akcionárov spoločnosti. V prípade výkonu práce nad rámec povinností vyplývajúcich z funkčného zaradenia člena orgánu spoločnosti tento je odmeňovaný mesačnou odmenou vo výške 4</w:t>
      </w:r>
      <w:r w:rsidR="006E6284">
        <w:t>2</w:t>
      </w:r>
      <w:r w:rsidR="00887821">
        <w:t xml:space="preserve">0 EUR. Žiaden z členov štatutárneho orgánu spoločnosti nemá voči nej finančný alebo iný záväzok ani mu nebola poskytnutá pôžička alebo iný finančný pôžitok. </w:t>
      </w:r>
    </w:p>
    <w:p w:rsidR="0000290B" w:rsidRDefault="0000290B" w:rsidP="0000290B">
      <w:pPr>
        <w:pStyle w:val="Zkladntext"/>
      </w:pPr>
    </w:p>
    <w:p w:rsidR="0000290B" w:rsidRDefault="0000290B" w:rsidP="0000290B">
      <w:pPr>
        <w:pStyle w:val="Zkladntext"/>
      </w:pPr>
    </w:p>
    <w:p w:rsidR="00887821" w:rsidRDefault="00887821" w:rsidP="0000290B">
      <w:pPr>
        <w:pStyle w:val="Zkladntext"/>
      </w:pPr>
    </w:p>
    <w:p w:rsidR="00887821" w:rsidRDefault="00887821" w:rsidP="0000290B">
      <w:pPr>
        <w:pStyle w:val="Zkladntext"/>
      </w:pPr>
    </w:p>
    <w:p w:rsidR="00C672BA" w:rsidRDefault="00C672BA" w:rsidP="0000290B">
      <w:pPr>
        <w:pStyle w:val="Zkladntext"/>
      </w:pPr>
      <w:r>
        <w:t>Prehľad o príjmoch a výhodách členov štatutárnych, dozorných a iných orgánov:</w:t>
      </w:r>
    </w:p>
    <w:p w:rsidR="00C672BA" w:rsidRDefault="00C672BA" w:rsidP="0000290B">
      <w:pPr>
        <w:pStyle w:val="Zkladntext"/>
      </w:pPr>
    </w:p>
    <w:bookmarkStart w:id="70" w:name="_MON_1423998246"/>
    <w:bookmarkEnd w:id="70"/>
    <w:p w:rsidR="00006F02" w:rsidRDefault="00E45943" w:rsidP="0000290B">
      <w:pPr>
        <w:pStyle w:val="Zkladntext"/>
      </w:pPr>
      <w:r>
        <w:object w:dxaOrig="9696" w:dyaOrig="5150">
          <v:shape id="_x0000_i1051" type="#_x0000_t75" style="width:439.45pt;height:260.15pt" o:ole="" o:preferrelative="f">
            <v:imagedata r:id="rId66" o:title=""/>
            <o:lock v:ext="edit" aspectratio="f"/>
          </v:shape>
          <o:OLEObject Type="Embed" ProgID="Excel.Sheet.12" ShapeID="_x0000_i1051" DrawAspect="Content" ObjectID="_1427001815" r:id="rId67"/>
        </w:object>
      </w:r>
    </w:p>
    <w:p w:rsidR="0000290B" w:rsidRDefault="0000290B" w:rsidP="0000290B">
      <w:pPr>
        <w:pStyle w:val="Nadpis1"/>
        <w:tabs>
          <w:tab w:val="clear" w:pos="450"/>
          <w:tab w:val="num" w:pos="360"/>
        </w:tabs>
        <w:spacing w:before="120" w:after="60"/>
        <w:ind w:left="360"/>
      </w:pPr>
      <w:bookmarkStart w:id="71" w:name="_Toc530739924"/>
      <w:r>
        <w:t>Informácie o ekonomických vzťahoch účtovnej jednotky a spriaznených osôb</w:t>
      </w:r>
      <w:bookmarkEnd w:id="71"/>
    </w:p>
    <w:p w:rsidR="0000290B" w:rsidRDefault="0000290B" w:rsidP="0000290B">
      <w:pPr>
        <w:pStyle w:val="Zkladntext"/>
      </w:pPr>
    </w:p>
    <w:p w:rsidR="0000290B" w:rsidRDefault="002A7256" w:rsidP="0000290B">
      <w:pPr>
        <w:pStyle w:val="Zkladntext"/>
      </w:pPr>
      <w:r>
        <w:t>Významným akcionárom spoločnosti je spoločnosť PRO POPULO Poprad s.r.o., ktorá vlastní cca 2</w:t>
      </w:r>
      <w:r w:rsidR="0066739D">
        <w:t>9</w:t>
      </w:r>
      <w:r>
        <w:t xml:space="preserve">% podiel akcií z celkovej emisie akcií na doručiteľa a cca 43% podiel akcií na meno. Súčasne je spoločnosť významným dodávateľom surovej drevnej hmoty do prevádzky píla Levoča kde dodávky drevnej hmoty sa realizujú na báze ¼ ročných zmluvných dodávok a sú strategickým stabilizačným faktorom v podnikaní spoločnosti.  Pravidelnosť dodávok drevnej hmoty veľmi pozitívne ovplyvňuje ekonomiku spoločnosti. </w:t>
      </w:r>
      <w:r w:rsidR="0000290B">
        <w:t xml:space="preserve">Spoločnosť uskutočnila v priebehu účtovného obdobia nasledujúce </w:t>
      </w:r>
      <w:r>
        <w:t>obchodné t</w:t>
      </w:r>
      <w:r w:rsidR="0000290B">
        <w:t>ransakcie s</w:t>
      </w:r>
      <w:r>
        <w:t xml:space="preserve"> touto</w:t>
      </w:r>
      <w:r w:rsidR="0000290B">
        <w:t xml:space="preserve"> spriaznen</w:t>
      </w:r>
      <w:r w:rsidR="00301CB4">
        <w:t>ou</w:t>
      </w:r>
      <w:r w:rsidR="0000290B">
        <w:t xml:space="preserve"> osob</w:t>
      </w:r>
      <w:r w:rsidR="00301CB4">
        <w:t>ou</w:t>
      </w:r>
      <w:r>
        <w:t>:</w:t>
      </w:r>
    </w:p>
    <w:p w:rsidR="0000290B" w:rsidRDefault="0000290B" w:rsidP="0000290B">
      <w:pPr>
        <w:pStyle w:val="Zkladntext"/>
      </w:pPr>
    </w:p>
    <w:bookmarkStart w:id="72" w:name="_MON_1393718454"/>
    <w:bookmarkEnd w:id="72"/>
    <w:p w:rsidR="00075B41" w:rsidRDefault="00E45943">
      <w:pPr>
        <w:pStyle w:val="Zkladntext"/>
      </w:pPr>
      <w:r w:rsidRPr="00A9048F">
        <w:object w:dxaOrig="8863" w:dyaOrig="3087">
          <v:shape id="_x0000_i1052" type="#_x0000_t75" style="width:439.45pt;height:169.8pt" o:ole="" o:preferrelative="f">
            <v:imagedata r:id="rId68" o:title=""/>
            <o:lock v:ext="edit" aspectratio="f"/>
          </v:shape>
          <o:OLEObject Type="Embed" ProgID="Excel.Sheet.12" ShapeID="_x0000_i1052" DrawAspect="Content" ObjectID="_1427001816" r:id="rId69"/>
        </w:object>
      </w:r>
    </w:p>
    <w:p w:rsidR="004313A2" w:rsidRDefault="00301CB4" w:rsidP="004313A2">
      <w:pPr>
        <w:pStyle w:val="Zkladntext"/>
        <w:rPr>
          <w:i/>
        </w:rPr>
      </w:pPr>
      <w:r>
        <w:t xml:space="preserve">LEGENDA:     kód  </w:t>
      </w:r>
      <w:r>
        <w:rPr>
          <w:i/>
        </w:rPr>
        <w:t>01 – dodávka základného materiálu</w:t>
      </w:r>
    </w:p>
    <w:p w:rsidR="00301CB4" w:rsidRPr="00301CB4" w:rsidRDefault="00301CB4" w:rsidP="004313A2">
      <w:pPr>
        <w:pStyle w:val="Zkladntext"/>
        <w:rPr>
          <w:i/>
        </w:rPr>
      </w:pPr>
      <w:r>
        <w:t xml:space="preserve">                                </w:t>
      </w:r>
      <w:r>
        <w:rPr>
          <w:i/>
        </w:rPr>
        <w:t>02 – predaj nepotrebnej techniky</w:t>
      </w:r>
    </w:p>
    <w:p w:rsidR="004313A2" w:rsidRDefault="004313A2" w:rsidP="003E0FA2">
      <w:pPr>
        <w:pStyle w:val="Zkladntext"/>
        <w:ind w:left="0" w:firstLine="426"/>
      </w:pPr>
    </w:p>
    <w:p w:rsidR="00075B41" w:rsidRDefault="00075B41" w:rsidP="008D2F11">
      <w:pPr>
        <w:pStyle w:val="Zkladntext"/>
        <w:ind w:left="0" w:firstLine="426"/>
      </w:pPr>
      <w:r>
        <w:br w:type="page"/>
      </w:r>
    </w:p>
    <w:p w:rsidR="00C03840" w:rsidRPr="00093CC4" w:rsidRDefault="00C03840" w:rsidP="003E0FA2">
      <w:pPr>
        <w:pStyle w:val="Zkladntext"/>
        <w:ind w:left="0" w:firstLine="426"/>
      </w:pPr>
    </w:p>
    <w:p w:rsidR="003E0FA2" w:rsidRDefault="003E0FA2" w:rsidP="003E0FA2">
      <w:pPr>
        <w:pStyle w:val="Zkladntext"/>
        <w:ind w:left="0" w:firstLine="426"/>
      </w:pPr>
      <w:r>
        <w:t>Vybrané aktíva a pasíva vyplývajúce z transakcií so spriaznenými osobami sú uvedené v nasledujúcom prehľade:</w:t>
      </w:r>
    </w:p>
    <w:p w:rsidR="00FA2A9D" w:rsidRDefault="00FA2A9D" w:rsidP="003E0FA2">
      <w:pPr>
        <w:pStyle w:val="Zkladntext"/>
        <w:ind w:left="0" w:firstLine="426"/>
      </w:pPr>
    </w:p>
    <w:bookmarkStart w:id="73" w:name="_MON_1423998776"/>
    <w:bookmarkEnd w:id="73"/>
    <w:p w:rsidR="002F770F" w:rsidRDefault="00E45943" w:rsidP="002F770F">
      <w:pPr>
        <w:pStyle w:val="Zkladntext"/>
      </w:pPr>
      <w:r>
        <w:object w:dxaOrig="8990" w:dyaOrig="2374">
          <v:shape id="_x0000_i1053" type="#_x0000_t75" style="width:438.1pt;height:129.05pt" o:ole="" o:preferrelative="f">
            <v:imagedata r:id="rId70" o:title=""/>
            <o:lock v:ext="edit" aspectratio="f"/>
          </v:shape>
          <o:OLEObject Type="Embed" ProgID="Excel.Sheet.12" ShapeID="_x0000_i1053" DrawAspect="Content" ObjectID="_1427001817" r:id="rId71"/>
        </w:object>
      </w:r>
    </w:p>
    <w:p w:rsidR="00627B6C" w:rsidRPr="002F770F" w:rsidRDefault="00627B6C" w:rsidP="002F770F">
      <w:pPr>
        <w:pStyle w:val="Zkladntext"/>
      </w:pPr>
    </w:p>
    <w:p w:rsidR="003E0FA2" w:rsidRDefault="003E0FA2" w:rsidP="003E0FA2">
      <w:pPr>
        <w:pStyle w:val="Nadpis1"/>
        <w:tabs>
          <w:tab w:val="clear" w:pos="450"/>
          <w:tab w:val="num" w:pos="360"/>
        </w:tabs>
        <w:spacing w:before="120" w:after="60"/>
        <w:ind w:left="360"/>
      </w:pPr>
      <w:bookmarkStart w:id="74" w:name="_Toc530739925"/>
      <w:r>
        <w:t>Informácie o skutočnostiach, ktoré nastali po dni, ku ktorému sa zostavuje účtovná závierka, do dňa zostavenia účtovnej závierky</w:t>
      </w:r>
      <w:bookmarkEnd w:id="74"/>
    </w:p>
    <w:p w:rsidR="003E0FA2" w:rsidRDefault="003E0FA2" w:rsidP="003E0FA2">
      <w:pPr>
        <w:pStyle w:val="Zkladntext"/>
      </w:pPr>
    </w:p>
    <w:p w:rsidR="003E0FA2" w:rsidRDefault="003E0FA2" w:rsidP="003E0FA2">
      <w:pPr>
        <w:pStyle w:val="Zkladntext"/>
      </w:pPr>
      <w:r>
        <w:t>Po 31. decembri 201</w:t>
      </w:r>
      <w:r w:rsidR="008B1D3B">
        <w:t>2</w:t>
      </w:r>
      <w:r>
        <w:t xml:space="preserve"> </w:t>
      </w:r>
      <w:r w:rsidR="00754049">
        <w:t>nenastali žiadne významné udalosti, ktoré by mali</w:t>
      </w:r>
      <w:r>
        <w:t xml:space="preserve"> významný vplyv na verné zobrazenie skutočností, ktoré sú predmetom účtovníctva</w:t>
      </w:r>
      <w:r w:rsidR="00754049">
        <w:t xml:space="preserve"> spoločnosti za rok 201</w:t>
      </w:r>
      <w:r w:rsidR="00E45943">
        <w:t>2</w:t>
      </w:r>
      <w:r w:rsidR="00754049">
        <w:t>.</w:t>
      </w:r>
    </w:p>
    <w:p w:rsidR="00754049" w:rsidRDefault="00754049" w:rsidP="003E0FA2">
      <w:pPr>
        <w:pStyle w:val="Zkladntext"/>
      </w:pPr>
    </w:p>
    <w:p w:rsidR="00754049" w:rsidRDefault="00754049" w:rsidP="003E0FA2">
      <w:pPr>
        <w:pStyle w:val="Zkladntext"/>
      </w:pPr>
    </w:p>
    <w:p w:rsidR="003E0FA2" w:rsidRDefault="003E0FA2" w:rsidP="003E0FA2">
      <w:pPr>
        <w:pStyle w:val="Nadpis1"/>
        <w:tabs>
          <w:tab w:val="clear" w:pos="450"/>
          <w:tab w:val="num" w:pos="360"/>
        </w:tabs>
        <w:spacing w:before="120" w:after="60"/>
        <w:ind w:left="360"/>
      </w:pPr>
      <w:bookmarkStart w:id="75" w:name="_Toc530739907"/>
      <w:r>
        <w:t>Informácie o Vlastnom imaní</w:t>
      </w:r>
      <w:bookmarkEnd w:id="75"/>
    </w:p>
    <w:p w:rsidR="003E0FA2" w:rsidRDefault="003E0FA2" w:rsidP="003E0FA2">
      <w:pPr>
        <w:pStyle w:val="Zkladntext"/>
      </w:pPr>
    </w:p>
    <w:p w:rsidR="003E0FA2" w:rsidRDefault="003E0FA2" w:rsidP="003E0FA2">
      <w:pPr>
        <w:pStyle w:val="Zkladntext"/>
      </w:pPr>
      <w:r>
        <w:t>Prehľad o pohybe vlastného imania v priebehu účtovného obdobia je uvedený v nasledujúcom prehľade:</w:t>
      </w:r>
    </w:p>
    <w:p w:rsidR="003E0FA2" w:rsidRDefault="003E0FA2" w:rsidP="003E0FA2">
      <w:pPr>
        <w:pStyle w:val="Zkladntext"/>
        <w:ind w:left="0"/>
      </w:pPr>
    </w:p>
    <w:bookmarkStart w:id="76" w:name="_MON_1393719480"/>
    <w:bookmarkStart w:id="77" w:name="_MON_1393720451"/>
    <w:bookmarkStart w:id="78" w:name="_MON_1393720661"/>
    <w:bookmarkStart w:id="79" w:name="_MON_1392791812"/>
    <w:bookmarkEnd w:id="76"/>
    <w:bookmarkEnd w:id="77"/>
    <w:bookmarkEnd w:id="78"/>
    <w:bookmarkEnd w:id="79"/>
    <w:bookmarkStart w:id="80" w:name="_MON_1392790758"/>
    <w:bookmarkEnd w:id="80"/>
    <w:p w:rsidR="00262CD4" w:rsidRDefault="008339A2" w:rsidP="003E0FA2">
      <w:pPr>
        <w:pStyle w:val="Zkladntext"/>
      </w:pPr>
      <w:r>
        <w:object w:dxaOrig="9229" w:dyaOrig="6985">
          <v:shape id="_x0000_i1054" type="#_x0000_t75" style="width:437.45pt;height:358.65pt" o:ole="" o:preferrelative="f">
            <v:imagedata r:id="rId72" o:title=""/>
            <o:lock v:ext="edit" aspectratio="f"/>
          </v:shape>
          <o:OLEObject Type="Embed" ProgID="Excel.Sheet.12" ShapeID="_x0000_i1054" DrawAspect="Content" ObjectID="_1427001818" r:id="rId73"/>
        </w:object>
      </w:r>
    </w:p>
    <w:p w:rsidR="008339A2" w:rsidRDefault="008339A2" w:rsidP="0075139D">
      <w:pPr>
        <w:autoSpaceDE w:val="0"/>
        <w:autoSpaceDN w:val="0"/>
        <w:adjustRightInd w:val="0"/>
        <w:ind w:left="426"/>
        <w:jc w:val="both"/>
        <w:rPr>
          <w:sz w:val="18"/>
          <w:szCs w:val="18"/>
        </w:rPr>
      </w:pPr>
    </w:p>
    <w:p w:rsidR="0075139D" w:rsidRDefault="009A76AE" w:rsidP="0075139D">
      <w:pPr>
        <w:autoSpaceDE w:val="0"/>
        <w:autoSpaceDN w:val="0"/>
        <w:adjustRightInd w:val="0"/>
        <w:ind w:left="426"/>
        <w:jc w:val="both"/>
        <w:rPr>
          <w:szCs w:val="18"/>
        </w:rPr>
      </w:pPr>
      <w:r>
        <w:rPr>
          <w:sz w:val="18"/>
          <w:szCs w:val="18"/>
        </w:rPr>
        <w:t>Výška z</w:t>
      </w:r>
      <w:r w:rsidR="0075139D" w:rsidRPr="002A2DCE">
        <w:rPr>
          <w:sz w:val="18"/>
          <w:szCs w:val="18"/>
        </w:rPr>
        <w:t>ákladné</w:t>
      </w:r>
      <w:r>
        <w:rPr>
          <w:sz w:val="18"/>
          <w:szCs w:val="18"/>
        </w:rPr>
        <w:t>ho</w:t>
      </w:r>
      <w:r w:rsidR="0075139D" w:rsidRPr="002A2DCE">
        <w:rPr>
          <w:sz w:val="18"/>
          <w:szCs w:val="18"/>
        </w:rPr>
        <w:t xml:space="preserve"> imani</w:t>
      </w:r>
      <w:r>
        <w:rPr>
          <w:sz w:val="18"/>
          <w:szCs w:val="18"/>
        </w:rPr>
        <w:t xml:space="preserve">a spoločnosti sa </w:t>
      </w:r>
      <w:r w:rsidR="0075139D" w:rsidRPr="002A2DCE">
        <w:rPr>
          <w:sz w:val="18"/>
          <w:szCs w:val="18"/>
        </w:rPr>
        <w:t xml:space="preserve"> v priebehu účtovného obdobia rok</w:t>
      </w:r>
      <w:r w:rsidR="00017791">
        <w:rPr>
          <w:sz w:val="18"/>
          <w:szCs w:val="18"/>
        </w:rPr>
        <w:t>a</w:t>
      </w:r>
      <w:r w:rsidR="0075139D" w:rsidRPr="002A2DCE">
        <w:rPr>
          <w:sz w:val="18"/>
          <w:szCs w:val="18"/>
        </w:rPr>
        <w:t xml:space="preserve"> </w:t>
      </w:r>
      <w:r w:rsidR="0075139D">
        <w:rPr>
          <w:sz w:val="18"/>
          <w:szCs w:val="18"/>
        </w:rPr>
        <w:t>201</w:t>
      </w:r>
      <w:r w:rsidR="00D96E87">
        <w:rPr>
          <w:sz w:val="18"/>
          <w:szCs w:val="18"/>
        </w:rPr>
        <w:t>2</w:t>
      </w:r>
      <w:r w:rsidR="0075139D" w:rsidRPr="002A2DCE">
        <w:rPr>
          <w:sz w:val="18"/>
          <w:szCs w:val="18"/>
        </w:rPr>
        <w:t xml:space="preserve"> </w:t>
      </w:r>
      <w:r>
        <w:rPr>
          <w:sz w:val="18"/>
          <w:szCs w:val="18"/>
        </w:rPr>
        <w:t>nemenila.</w:t>
      </w:r>
      <w:r w:rsidR="0075139D">
        <w:rPr>
          <w:sz w:val="18"/>
          <w:szCs w:val="18"/>
        </w:rPr>
        <w:t xml:space="preserve"> </w:t>
      </w:r>
    </w:p>
    <w:p w:rsidR="0075139D" w:rsidRDefault="0075139D" w:rsidP="0075139D">
      <w:pPr>
        <w:autoSpaceDE w:val="0"/>
        <w:autoSpaceDN w:val="0"/>
        <w:adjustRightInd w:val="0"/>
        <w:ind w:left="426"/>
        <w:jc w:val="both"/>
        <w:rPr>
          <w:szCs w:val="18"/>
        </w:rPr>
      </w:pPr>
    </w:p>
    <w:p w:rsidR="0075139D" w:rsidRDefault="0075139D" w:rsidP="0075139D">
      <w:pPr>
        <w:pStyle w:val="Zkladntext"/>
      </w:pPr>
      <w:r>
        <w:t>V</w:t>
      </w:r>
      <w:r w:rsidR="009A76AE">
        <w:t xml:space="preserve"> zmysle smernice o použití prostriedkov zo štatutárneho fondu predstavenstva </w:t>
      </w:r>
      <w:r w:rsidR="00D96E87">
        <w:t>spoločnosti sa jeho výška  v priebehu roka 20112 nemenila.</w:t>
      </w:r>
      <w:r>
        <w:t xml:space="preserve"> </w:t>
      </w:r>
    </w:p>
    <w:p w:rsidR="00D96E87" w:rsidRDefault="00D96E87" w:rsidP="0075139D">
      <w:pPr>
        <w:pStyle w:val="Zkladntext"/>
      </w:pPr>
    </w:p>
    <w:p w:rsidR="005E7ED3" w:rsidRDefault="005E7ED3" w:rsidP="0075139D">
      <w:pPr>
        <w:pStyle w:val="Zkladntext"/>
      </w:pPr>
      <w:r>
        <w:t>Na základe uznesenia valného zhromaždenia akcionárov zo dňa 2</w:t>
      </w:r>
      <w:r w:rsidR="00D96E87">
        <w:t>5</w:t>
      </w:r>
      <w:r>
        <w:t>.</w:t>
      </w:r>
      <w:r w:rsidR="00D96E87">
        <w:t>mája</w:t>
      </w:r>
      <w:r>
        <w:t xml:space="preserve"> 201</w:t>
      </w:r>
      <w:r w:rsidR="00D96E87">
        <w:t>2</w:t>
      </w:r>
      <w:r>
        <w:t xml:space="preserve"> </w:t>
      </w:r>
      <w:r w:rsidR="00D96E87">
        <w:t>sa fondy zo zisku nedopĺňali.</w:t>
      </w:r>
      <w:r>
        <w:t xml:space="preserve"> </w:t>
      </w:r>
    </w:p>
    <w:p w:rsidR="0075139D" w:rsidRDefault="0075139D" w:rsidP="0075139D">
      <w:pPr>
        <w:pStyle w:val="Zkladntext"/>
      </w:pPr>
    </w:p>
    <w:p w:rsidR="00C62C16" w:rsidRDefault="00C62C16" w:rsidP="003E0FA2">
      <w:pPr>
        <w:pStyle w:val="Zkladntext"/>
      </w:pPr>
    </w:p>
    <w:p w:rsidR="003E0FA2" w:rsidRDefault="003E0FA2" w:rsidP="003E0FA2">
      <w:pPr>
        <w:pStyle w:val="Zkladntext"/>
      </w:pPr>
      <w:r>
        <w:t>Prehľad o pohybe vlastného imania za predchádzajúce účtovné obdobie je uvedený v nasledujúc</w:t>
      </w:r>
      <w:r w:rsidR="00017791">
        <w:t>om</w:t>
      </w:r>
      <w:r>
        <w:t xml:space="preserve"> </w:t>
      </w:r>
      <w:r w:rsidR="00017791">
        <w:t>prehľad</w:t>
      </w:r>
      <w:r>
        <w:t>e:</w:t>
      </w:r>
    </w:p>
    <w:p w:rsidR="003E0FA2" w:rsidRDefault="003E0FA2" w:rsidP="003E0FA2">
      <w:pPr>
        <w:pStyle w:val="Zkladntext"/>
        <w:ind w:left="0"/>
      </w:pPr>
    </w:p>
    <w:bookmarkStart w:id="81" w:name="_MON_1393720759"/>
    <w:bookmarkStart w:id="82" w:name="_MON_1393720940"/>
    <w:bookmarkEnd w:id="81"/>
    <w:bookmarkEnd w:id="82"/>
    <w:bookmarkStart w:id="83" w:name="_MON_1392792604"/>
    <w:bookmarkEnd w:id="83"/>
    <w:p w:rsidR="00627B6C" w:rsidRDefault="008339A2" w:rsidP="003E0FA2">
      <w:pPr>
        <w:pStyle w:val="Zkladntext"/>
      </w:pPr>
      <w:r w:rsidRPr="001C0A6A">
        <w:object w:dxaOrig="9091" w:dyaOrig="7014">
          <v:shape id="_x0000_i1055" type="#_x0000_t75" style="width:438.1pt;height:362.05pt" o:ole="" o:preferrelative="f">
            <v:imagedata r:id="rId74" o:title=""/>
            <o:lock v:ext="edit" aspectratio="f"/>
          </v:shape>
          <o:OLEObject Type="Embed" ProgID="Excel.Sheet.12" ShapeID="_x0000_i1055" DrawAspect="Content" ObjectID="_1427001819" r:id="rId75"/>
        </w:object>
      </w:r>
    </w:p>
    <w:p w:rsidR="00627B6C" w:rsidRDefault="00627B6C" w:rsidP="003E0FA2">
      <w:pPr>
        <w:pStyle w:val="Zkladntext"/>
      </w:pPr>
    </w:p>
    <w:p w:rsidR="003E0FA2" w:rsidRDefault="000543EB" w:rsidP="003E0FA2">
      <w:pPr>
        <w:pStyle w:val="Zkladntext"/>
      </w:pPr>
      <w:r>
        <w:t>Pohyby v jednotlivých položkách boli vykázané a realizované na základe rozhodnutia valného zhromaždenia akcionárov spoločnosti respektíve rozhodnutím predstavenstva v prípade použitia prostriedkov zo štatutárneho fondu predstavenstva spoločnosti.</w:t>
      </w:r>
    </w:p>
    <w:p w:rsidR="003E0FA2" w:rsidRDefault="003E0FA2" w:rsidP="003E0FA2">
      <w:pPr>
        <w:pStyle w:val="Zkladntext"/>
      </w:pPr>
    </w:p>
    <w:p w:rsidR="00627B6C" w:rsidRDefault="00627B6C">
      <w:pPr>
        <w:spacing w:after="200" w:line="276" w:lineRule="auto"/>
        <w:rPr>
          <w:sz w:val="18"/>
        </w:rPr>
      </w:pPr>
      <w:r>
        <w:br w:type="page"/>
      </w:r>
    </w:p>
    <w:p w:rsidR="003E0FA2" w:rsidRDefault="000543EB" w:rsidP="003E0FA2">
      <w:pPr>
        <w:pStyle w:val="Zkladntext"/>
      </w:pPr>
      <w:r>
        <w:lastRenderedPageBreak/>
        <w:t>Rozdelenie ú</w:t>
      </w:r>
      <w:r w:rsidR="003E0FA2">
        <w:t>čtovn</w:t>
      </w:r>
      <w:r>
        <w:t>ého</w:t>
      </w:r>
      <w:r w:rsidR="003E0FA2">
        <w:t xml:space="preserve"> zisk</w:t>
      </w:r>
      <w:r>
        <w:t>u spoločnosti</w:t>
      </w:r>
      <w:r w:rsidR="003E0FA2">
        <w:t xml:space="preserve"> za rok 201</w:t>
      </w:r>
      <w:r w:rsidR="000137E4">
        <w:t>1</w:t>
      </w:r>
      <w:r w:rsidR="003E0FA2">
        <w:t xml:space="preserve"> bol</w:t>
      </w:r>
      <w:r>
        <w:t>o</w:t>
      </w:r>
      <w:r w:rsidR="003E0FA2">
        <w:t xml:space="preserve"> </w:t>
      </w:r>
      <w:r>
        <w:t>v súlade s rozhodnutím valného zhromaždenia</w:t>
      </w:r>
      <w:r w:rsidR="000137E4">
        <w:t>. Spoločnosť v roku 2011 vykázala stratu z hospodárenia vo výške 127.256 EUR.</w:t>
      </w:r>
    </w:p>
    <w:p w:rsidR="003E0FA2" w:rsidRDefault="003E0FA2" w:rsidP="003E0FA2">
      <w:pPr>
        <w:pStyle w:val="Zkladntext"/>
      </w:pPr>
    </w:p>
    <w:bookmarkStart w:id="84" w:name="_MON_1393720281"/>
    <w:bookmarkStart w:id="85" w:name="_MON_1393720300"/>
    <w:bookmarkStart w:id="86" w:name="_MON_1393720360"/>
    <w:bookmarkStart w:id="87" w:name="_MON_1392793783"/>
    <w:bookmarkEnd w:id="84"/>
    <w:bookmarkEnd w:id="85"/>
    <w:bookmarkEnd w:id="86"/>
    <w:bookmarkEnd w:id="87"/>
    <w:bookmarkStart w:id="88" w:name="_MON_1393720137"/>
    <w:bookmarkEnd w:id="88"/>
    <w:p w:rsidR="00ED1E98" w:rsidRDefault="008339A2" w:rsidP="003E0FA2">
      <w:pPr>
        <w:pStyle w:val="Zkladntext"/>
      </w:pPr>
      <w:r>
        <w:object w:dxaOrig="8861" w:dyaOrig="709">
          <v:shape id="_x0000_i1056" type="#_x0000_t75" style="width:433.35pt;height:36pt" o:ole="" o:preferrelative="f">
            <v:imagedata r:id="rId76" o:title=""/>
          </v:shape>
          <o:OLEObject Type="Embed" ProgID="Excel.Sheet.12" ShapeID="_x0000_i1056" DrawAspect="Content" ObjectID="_1427001820" r:id="rId77"/>
        </w:object>
      </w:r>
    </w:p>
    <w:p w:rsidR="001A566C" w:rsidRDefault="001A566C" w:rsidP="003E0FA2">
      <w:pPr>
        <w:pStyle w:val="Zkladntext"/>
      </w:pPr>
    </w:p>
    <w:bookmarkStart w:id="89" w:name="_MON_1392794386"/>
    <w:bookmarkStart w:id="90" w:name="_MON_1392793756"/>
    <w:bookmarkStart w:id="91" w:name="_MON_1392794040"/>
    <w:bookmarkStart w:id="92" w:name="_MON_1393720120"/>
    <w:bookmarkStart w:id="93" w:name="_MON_1393720314"/>
    <w:bookmarkStart w:id="94" w:name="_MON_1393720354"/>
    <w:bookmarkEnd w:id="89"/>
    <w:bookmarkEnd w:id="90"/>
    <w:bookmarkEnd w:id="91"/>
    <w:bookmarkEnd w:id="92"/>
    <w:bookmarkEnd w:id="93"/>
    <w:bookmarkEnd w:id="94"/>
    <w:bookmarkStart w:id="95" w:name="_MON_1392793414"/>
    <w:bookmarkEnd w:id="95"/>
    <w:p w:rsidR="00627B6C" w:rsidRDefault="008339A2" w:rsidP="003E0FA2">
      <w:pPr>
        <w:pStyle w:val="Zkladntext"/>
      </w:pPr>
      <w:r w:rsidRPr="001C0A6A">
        <w:object w:dxaOrig="8863" w:dyaOrig="2116">
          <v:shape id="_x0000_i1057" type="#_x0000_t75" style="width:437.45pt;height:103.9pt" o:ole="" o:preferrelative="f">
            <v:imagedata r:id="rId78" o:title=""/>
            <o:lock v:ext="edit" aspectratio="f"/>
          </v:shape>
          <o:OLEObject Type="Embed" ProgID="Excel.Sheet.12" ShapeID="_x0000_i1057" DrawAspect="Content" ObjectID="_1427001821" r:id="rId79"/>
        </w:object>
      </w:r>
    </w:p>
    <w:p w:rsidR="00627B6C" w:rsidRDefault="00627B6C" w:rsidP="003E0FA2">
      <w:pPr>
        <w:pStyle w:val="Zkladntext"/>
      </w:pPr>
    </w:p>
    <w:p w:rsidR="003E0FA2" w:rsidRDefault="003E0FA2" w:rsidP="008339A2">
      <w:pPr>
        <w:pStyle w:val="Zkladntext"/>
      </w:pPr>
      <w:r>
        <w:t>O</w:t>
      </w:r>
      <w:r w:rsidR="00B7570D">
        <w:t xml:space="preserve"> spôsobe umorenia straty za </w:t>
      </w:r>
      <w:r>
        <w:t xml:space="preserve">účtovné obdobie 2011 vo výške </w:t>
      </w:r>
      <w:r w:rsidR="00B7570D">
        <w:t>-127.25</w:t>
      </w:r>
      <w:r w:rsidR="008339A2">
        <w:t>7</w:t>
      </w:r>
      <w:r>
        <w:t xml:space="preserve"> EUR rozhod</w:t>
      </w:r>
      <w:r w:rsidR="000137E4">
        <w:t>lo</w:t>
      </w:r>
      <w:r>
        <w:t xml:space="preserve"> valné zhromaždenie</w:t>
      </w:r>
      <w:r w:rsidR="00B7570D">
        <w:t xml:space="preserve"> akcionárov spoločnosti, ktoré sa  kona</w:t>
      </w:r>
      <w:r w:rsidR="000137E4">
        <w:t xml:space="preserve">lo 25. mája </w:t>
      </w:r>
      <w:r w:rsidR="00B7570D">
        <w:t xml:space="preserve"> 2012. </w:t>
      </w:r>
      <w:r>
        <w:t xml:space="preserve">. </w:t>
      </w:r>
      <w:r w:rsidR="000137E4">
        <w:t>Na n</w:t>
      </w:r>
      <w:r>
        <w:t>ávrh štatutárneho orgánu valné zhromaždeni</w:t>
      </w:r>
      <w:r w:rsidR="000137E4">
        <w:t>e rozhodlo, že spoločnosť</w:t>
      </w:r>
      <w:r>
        <w:t xml:space="preserve"> </w:t>
      </w:r>
      <w:r w:rsidR="000137E4">
        <w:t xml:space="preserve"> ponechá </w:t>
      </w:r>
      <w:r w:rsidR="00B7570D">
        <w:t>stratu spoločnosti v plnej výške na položke neuhradená strata z minulých období a za predpokladu kladného hospodárenia v roku 2012 umoriť ju v zmysle platných zákonov o účtovníctve a dani z príjmu PO.</w:t>
      </w:r>
      <w:r w:rsidR="00CC7AEA">
        <w:t xml:space="preserve"> O spôsobe </w:t>
      </w:r>
      <w:proofErr w:type="spellStart"/>
      <w:r w:rsidR="00CC7AEA">
        <w:t>vysporiadania</w:t>
      </w:r>
      <w:proofErr w:type="spellEnd"/>
      <w:r w:rsidR="00CC7AEA">
        <w:t xml:space="preserve"> straty za rok 2012 vo výške -</w:t>
      </w:r>
      <w:r w:rsidR="00A32A86">
        <w:t>459.817</w:t>
      </w:r>
      <w:r w:rsidR="00CC7AEA">
        <w:t xml:space="preserve"> EUR rozhodnú akcionári na riadnom valnom zhromaždení spoločnosti v roku 2013.</w:t>
      </w:r>
    </w:p>
    <w:p w:rsidR="00A32A86" w:rsidRPr="00A32A86" w:rsidRDefault="00A32A86" w:rsidP="00A32A86">
      <w:pPr>
        <w:pStyle w:val="Nadpis1"/>
        <w:numPr>
          <w:ilvl w:val="0"/>
          <w:numId w:val="0"/>
        </w:numPr>
        <w:spacing w:before="120" w:after="60"/>
        <w:ind w:left="360"/>
        <w:rPr>
          <w:rFonts w:ascii="Arial Narrow" w:hAnsi="Arial Narrow" w:cs="Arial"/>
          <w:iCs/>
          <w:lang w:eastAsia="sk-SK"/>
        </w:rPr>
      </w:pPr>
      <w:bookmarkStart w:id="96" w:name="_Toc530739926"/>
    </w:p>
    <w:p w:rsidR="00A32A86" w:rsidRDefault="00A32A86" w:rsidP="00A32A86">
      <w:pPr>
        <w:pStyle w:val="Nadpis1"/>
        <w:numPr>
          <w:ilvl w:val="0"/>
          <w:numId w:val="0"/>
        </w:numPr>
        <w:spacing w:before="120" w:after="60"/>
        <w:ind w:left="360"/>
        <w:rPr>
          <w:rFonts w:ascii="Arial Narrow" w:hAnsi="Arial Narrow" w:cs="Arial"/>
          <w:iCs/>
          <w:lang w:eastAsia="sk-SK"/>
        </w:rPr>
      </w:pPr>
    </w:p>
    <w:p w:rsidR="00A32A86" w:rsidRDefault="00A32A86" w:rsidP="00A32A86">
      <w:pPr>
        <w:pStyle w:val="Nadpis1"/>
        <w:tabs>
          <w:tab w:val="clear" w:pos="450"/>
          <w:tab w:val="num" w:pos="360"/>
        </w:tabs>
        <w:spacing w:before="120" w:after="60"/>
        <w:ind w:left="360"/>
      </w:pPr>
      <w:r>
        <w:t>Prehľad peňažných tokov k 31. decembru 2012</w:t>
      </w:r>
    </w:p>
    <w:p w:rsidR="00A32A86" w:rsidRDefault="00A32A86" w:rsidP="00A32A86">
      <w:pPr>
        <w:jc w:val="both"/>
        <w:rPr>
          <w:rFonts w:ascii="Arial Narrow" w:hAnsi="Arial Narrow" w:cs="Arial"/>
          <w:iCs/>
          <w:lang w:eastAsia="sk-SK"/>
        </w:rPr>
      </w:pPr>
      <w:r>
        <w:rPr>
          <w:rFonts w:ascii="Arial Narrow" w:hAnsi="Arial Narrow" w:cs="Arial"/>
          <w:iCs/>
          <w:lang w:eastAsia="sk-SK"/>
        </w:rPr>
        <w:t>(</w:t>
      </w:r>
      <w:r w:rsidRPr="00A32A86">
        <w:rPr>
          <w:sz w:val="18"/>
        </w:rPr>
        <w:t>pri použití nepriamej metódy vykazovania peňažných .tokov z prevádzkovej činnosti)</w:t>
      </w:r>
    </w:p>
    <w:p w:rsidR="00A32A86" w:rsidRPr="00A32A86" w:rsidRDefault="00A32A86" w:rsidP="00A32A86">
      <w:pPr>
        <w:rPr>
          <w:lang w:eastAsia="sk-SK"/>
        </w:rPr>
      </w:pPr>
    </w:p>
    <w:bookmarkEnd w:id="96"/>
    <w:p w:rsidR="001C52F9" w:rsidRDefault="001C52F9" w:rsidP="00A32A86">
      <w:pPr>
        <w:pStyle w:val="Nadpis1"/>
        <w:numPr>
          <w:ilvl w:val="0"/>
          <w:numId w:val="0"/>
        </w:numPr>
        <w:spacing w:before="120" w:after="60"/>
        <w:ind w:left="360"/>
        <w:rPr>
          <w:rFonts w:ascii="Arial Narrow" w:hAnsi="Arial Narrow" w:cs="Arial"/>
          <w:iCs/>
          <w:lang w:eastAsia="sk-SK"/>
        </w:rPr>
      </w:pPr>
    </w:p>
    <w:tbl>
      <w:tblPr>
        <w:tblW w:w="9320" w:type="dxa"/>
        <w:tblInd w:w="60" w:type="dxa"/>
        <w:tblCellMar>
          <w:left w:w="70" w:type="dxa"/>
          <w:right w:w="70" w:type="dxa"/>
        </w:tblCellMar>
        <w:tblLook w:val="04A0"/>
      </w:tblPr>
      <w:tblGrid>
        <w:gridCol w:w="640"/>
        <w:gridCol w:w="6080"/>
        <w:gridCol w:w="1280"/>
        <w:gridCol w:w="1320"/>
      </w:tblGrid>
      <w:tr w:rsidR="00A32A86" w:rsidRPr="008339A2" w:rsidTr="00A32A86">
        <w:trPr>
          <w:trHeight w:val="40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A32A86" w:rsidRPr="008339A2" w:rsidRDefault="00A32A86" w:rsidP="00A32A86">
            <w:pPr>
              <w:jc w:val="center"/>
              <w:rPr>
                <w:sz w:val="18"/>
                <w:szCs w:val="18"/>
                <w:lang w:eastAsia="sk-SK"/>
              </w:rPr>
            </w:pPr>
            <w:r w:rsidRPr="008339A2">
              <w:rPr>
                <w:sz w:val="18"/>
                <w:szCs w:val="18"/>
                <w:lang w:eastAsia="sk-SK"/>
              </w:rPr>
              <w:t> </w:t>
            </w:r>
          </w:p>
        </w:tc>
        <w:tc>
          <w:tcPr>
            <w:tcW w:w="6080"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hideMark/>
          </w:tcPr>
          <w:p w:rsidR="00A32A86" w:rsidRPr="008339A2" w:rsidRDefault="00A32A86" w:rsidP="00A32A86">
            <w:pPr>
              <w:jc w:val="center"/>
              <w:rPr>
                <w:b/>
                <w:bCs/>
                <w:sz w:val="18"/>
                <w:szCs w:val="18"/>
                <w:lang w:eastAsia="sk-SK"/>
              </w:rPr>
            </w:pPr>
            <w:r w:rsidRPr="008339A2">
              <w:rPr>
                <w:b/>
                <w:bCs/>
                <w:sz w:val="18"/>
                <w:szCs w:val="18"/>
                <w:lang w:eastAsia="sk-SK"/>
              </w:rPr>
              <w:t>OBSAH POLOŽKY</w:t>
            </w:r>
          </w:p>
        </w:tc>
        <w:tc>
          <w:tcPr>
            <w:tcW w:w="1280" w:type="dxa"/>
            <w:vMerge w:val="restart"/>
            <w:tcBorders>
              <w:top w:val="single" w:sz="8" w:space="0" w:color="auto"/>
              <w:left w:val="single" w:sz="4" w:space="0" w:color="auto"/>
              <w:bottom w:val="single" w:sz="8" w:space="0" w:color="000000"/>
              <w:right w:val="nil"/>
            </w:tcBorders>
            <w:shd w:val="clear" w:color="000000" w:fill="FFFFFF"/>
            <w:vAlign w:val="center"/>
            <w:hideMark/>
          </w:tcPr>
          <w:p w:rsidR="00A32A86" w:rsidRPr="008339A2" w:rsidRDefault="00A32A86" w:rsidP="00A32A86">
            <w:pPr>
              <w:jc w:val="center"/>
              <w:rPr>
                <w:b/>
                <w:bCs/>
                <w:sz w:val="18"/>
                <w:szCs w:val="18"/>
                <w:lang w:eastAsia="sk-SK"/>
              </w:rPr>
            </w:pPr>
            <w:r w:rsidRPr="008339A2">
              <w:rPr>
                <w:b/>
                <w:bCs/>
                <w:sz w:val="18"/>
                <w:szCs w:val="18"/>
                <w:lang w:eastAsia="sk-SK"/>
              </w:rPr>
              <w:t xml:space="preserve">2 012  </w:t>
            </w:r>
          </w:p>
        </w:tc>
        <w:tc>
          <w:tcPr>
            <w:tcW w:w="132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rsidR="00A32A86" w:rsidRPr="008339A2" w:rsidRDefault="00A32A86" w:rsidP="00A32A86">
            <w:pPr>
              <w:jc w:val="center"/>
              <w:rPr>
                <w:b/>
                <w:bCs/>
                <w:sz w:val="18"/>
                <w:szCs w:val="18"/>
                <w:lang w:eastAsia="sk-SK"/>
              </w:rPr>
            </w:pPr>
            <w:r w:rsidRPr="008339A2">
              <w:rPr>
                <w:b/>
                <w:bCs/>
                <w:sz w:val="18"/>
                <w:szCs w:val="18"/>
                <w:lang w:eastAsia="sk-SK"/>
              </w:rPr>
              <w:t xml:space="preserve">2 011  </w:t>
            </w:r>
          </w:p>
        </w:tc>
      </w:tr>
      <w:tr w:rsidR="00A32A86" w:rsidRPr="008339A2" w:rsidTr="00A32A86">
        <w:trPr>
          <w:trHeight w:val="270"/>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A32A86" w:rsidRPr="008339A2" w:rsidRDefault="00A32A86" w:rsidP="00A32A86">
            <w:pPr>
              <w:rPr>
                <w:sz w:val="18"/>
                <w:szCs w:val="18"/>
                <w:lang w:eastAsia="sk-SK"/>
              </w:rPr>
            </w:pPr>
          </w:p>
        </w:tc>
        <w:tc>
          <w:tcPr>
            <w:tcW w:w="6080" w:type="dxa"/>
            <w:vMerge/>
            <w:tcBorders>
              <w:top w:val="single" w:sz="8" w:space="0" w:color="auto"/>
              <w:left w:val="single" w:sz="8" w:space="0" w:color="auto"/>
              <w:bottom w:val="single" w:sz="8" w:space="0" w:color="000000"/>
              <w:right w:val="single" w:sz="4" w:space="0" w:color="auto"/>
            </w:tcBorders>
            <w:vAlign w:val="center"/>
            <w:hideMark/>
          </w:tcPr>
          <w:p w:rsidR="00A32A86" w:rsidRPr="008339A2" w:rsidRDefault="00A32A86" w:rsidP="00A32A86">
            <w:pPr>
              <w:rPr>
                <w:b/>
                <w:bCs/>
                <w:sz w:val="18"/>
                <w:szCs w:val="18"/>
                <w:lang w:eastAsia="sk-SK"/>
              </w:rPr>
            </w:pPr>
          </w:p>
        </w:tc>
        <w:tc>
          <w:tcPr>
            <w:tcW w:w="1280" w:type="dxa"/>
            <w:vMerge/>
            <w:tcBorders>
              <w:top w:val="single" w:sz="8" w:space="0" w:color="auto"/>
              <w:left w:val="single" w:sz="4" w:space="0" w:color="auto"/>
              <w:bottom w:val="single" w:sz="8" w:space="0" w:color="000000"/>
              <w:right w:val="nil"/>
            </w:tcBorders>
            <w:vAlign w:val="center"/>
            <w:hideMark/>
          </w:tcPr>
          <w:p w:rsidR="00A32A86" w:rsidRPr="008339A2" w:rsidRDefault="00A32A86" w:rsidP="00A32A86">
            <w:pPr>
              <w:rPr>
                <w:b/>
                <w:bCs/>
                <w:sz w:val="18"/>
                <w:szCs w:val="18"/>
                <w:lang w:eastAsia="sk-SK"/>
              </w:rPr>
            </w:pPr>
          </w:p>
        </w:tc>
        <w:tc>
          <w:tcPr>
            <w:tcW w:w="1320" w:type="dxa"/>
            <w:vMerge/>
            <w:tcBorders>
              <w:top w:val="single" w:sz="8" w:space="0" w:color="auto"/>
              <w:left w:val="single" w:sz="4" w:space="0" w:color="auto"/>
              <w:bottom w:val="single" w:sz="8" w:space="0" w:color="000000"/>
              <w:right w:val="single" w:sz="8" w:space="0" w:color="auto"/>
            </w:tcBorders>
            <w:vAlign w:val="center"/>
            <w:hideMark/>
          </w:tcPr>
          <w:p w:rsidR="00A32A86" w:rsidRPr="008339A2" w:rsidRDefault="00A32A86" w:rsidP="00A32A86">
            <w:pPr>
              <w:rPr>
                <w:b/>
                <w:bCs/>
                <w:sz w:val="18"/>
                <w:szCs w:val="18"/>
                <w:lang w:eastAsia="sk-SK"/>
              </w:rPr>
            </w:pPr>
          </w:p>
        </w:tc>
      </w:tr>
      <w:tr w:rsidR="00A32A86" w:rsidRPr="008339A2" w:rsidTr="00A32A86">
        <w:trPr>
          <w:trHeight w:val="270"/>
        </w:trPr>
        <w:tc>
          <w:tcPr>
            <w:tcW w:w="640" w:type="dxa"/>
            <w:tcBorders>
              <w:top w:val="nil"/>
              <w:left w:val="single" w:sz="8" w:space="0" w:color="auto"/>
              <w:bottom w:val="single" w:sz="8" w:space="0" w:color="auto"/>
              <w:right w:val="nil"/>
            </w:tcBorders>
            <w:shd w:val="clear" w:color="000000" w:fill="FFFFFF"/>
            <w:vAlign w:val="center"/>
            <w:hideMark/>
          </w:tcPr>
          <w:p w:rsidR="00A32A86" w:rsidRPr="008339A2" w:rsidRDefault="00A32A86" w:rsidP="00A32A86">
            <w:pPr>
              <w:jc w:val="center"/>
              <w:rPr>
                <w:sz w:val="18"/>
                <w:szCs w:val="18"/>
                <w:lang w:eastAsia="sk-SK"/>
              </w:rPr>
            </w:pPr>
            <w:r w:rsidRPr="008339A2">
              <w:rPr>
                <w:sz w:val="18"/>
                <w:szCs w:val="18"/>
                <w:lang w:eastAsia="sk-SK"/>
              </w:rPr>
              <w:t> </w:t>
            </w:r>
          </w:p>
        </w:tc>
        <w:tc>
          <w:tcPr>
            <w:tcW w:w="6080" w:type="dxa"/>
            <w:tcBorders>
              <w:top w:val="nil"/>
              <w:left w:val="single" w:sz="4" w:space="0" w:color="auto"/>
              <w:bottom w:val="single" w:sz="8" w:space="0" w:color="auto"/>
              <w:right w:val="nil"/>
            </w:tcBorders>
            <w:shd w:val="clear" w:color="000000" w:fill="FFFFFF"/>
            <w:vAlign w:val="center"/>
            <w:hideMark/>
          </w:tcPr>
          <w:p w:rsidR="00A32A86" w:rsidRPr="008339A2" w:rsidRDefault="00A32A86" w:rsidP="00A32A86">
            <w:pPr>
              <w:rPr>
                <w:b/>
                <w:bCs/>
                <w:sz w:val="18"/>
                <w:szCs w:val="18"/>
                <w:lang w:eastAsia="sk-SK"/>
              </w:rPr>
            </w:pPr>
            <w:r w:rsidRPr="008339A2">
              <w:rPr>
                <w:b/>
                <w:bCs/>
                <w:sz w:val="18"/>
                <w:szCs w:val="18"/>
                <w:lang w:eastAsia="sk-SK"/>
              </w:rPr>
              <w:t>Peňažné toky z prevádzkovej činnosti</w:t>
            </w:r>
          </w:p>
        </w:tc>
        <w:tc>
          <w:tcPr>
            <w:tcW w:w="1280" w:type="dxa"/>
            <w:tcBorders>
              <w:top w:val="nil"/>
              <w:left w:val="nil"/>
              <w:bottom w:val="single" w:sz="8" w:space="0" w:color="auto"/>
              <w:right w:val="nil"/>
            </w:tcBorders>
            <w:shd w:val="clear" w:color="000000" w:fill="FFFFFF"/>
            <w:vAlign w:val="center"/>
            <w:hideMark/>
          </w:tcPr>
          <w:p w:rsidR="00A32A86" w:rsidRPr="008339A2" w:rsidRDefault="00A32A86" w:rsidP="00A32A86">
            <w:pPr>
              <w:jc w:val="center"/>
              <w:rPr>
                <w:sz w:val="18"/>
                <w:szCs w:val="18"/>
                <w:lang w:eastAsia="sk-SK"/>
              </w:rPr>
            </w:pPr>
            <w:r w:rsidRPr="008339A2">
              <w:rPr>
                <w:sz w:val="18"/>
                <w:szCs w:val="18"/>
                <w:lang w:eastAsia="sk-SK"/>
              </w:rPr>
              <w:t> </w:t>
            </w:r>
          </w:p>
        </w:tc>
        <w:tc>
          <w:tcPr>
            <w:tcW w:w="1320" w:type="dxa"/>
            <w:tcBorders>
              <w:top w:val="nil"/>
              <w:left w:val="nil"/>
              <w:bottom w:val="single" w:sz="8" w:space="0" w:color="auto"/>
              <w:right w:val="single" w:sz="8" w:space="0" w:color="auto"/>
            </w:tcBorders>
            <w:shd w:val="clear" w:color="000000" w:fill="FFFFFF"/>
            <w:vAlign w:val="center"/>
            <w:hideMark/>
          </w:tcPr>
          <w:p w:rsidR="00A32A86" w:rsidRPr="008339A2" w:rsidRDefault="00A32A86" w:rsidP="00A32A86">
            <w:pPr>
              <w:jc w:val="center"/>
              <w:rPr>
                <w:sz w:val="18"/>
                <w:szCs w:val="18"/>
                <w:lang w:eastAsia="sk-SK"/>
              </w:rPr>
            </w:pPr>
            <w:r w:rsidRPr="008339A2">
              <w:rPr>
                <w:sz w:val="18"/>
                <w:szCs w:val="18"/>
                <w:lang w:eastAsia="sk-SK"/>
              </w:rPr>
              <w:t> </w:t>
            </w:r>
          </w:p>
        </w:tc>
      </w:tr>
      <w:tr w:rsidR="00A32A86" w:rsidRPr="008339A2" w:rsidTr="00A32A86">
        <w:trPr>
          <w:trHeight w:val="255"/>
        </w:trPr>
        <w:tc>
          <w:tcPr>
            <w:tcW w:w="640" w:type="dxa"/>
            <w:tcBorders>
              <w:top w:val="nil"/>
              <w:left w:val="single" w:sz="4" w:space="0" w:color="auto"/>
              <w:bottom w:val="nil"/>
              <w:right w:val="single" w:sz="4" w:space="0" w:color="auto"/>
            </w:tcBorders>
            <w:shd w:val="clear" w:color="000000" w:fill="FFFFFF"/>
            <w:noWrap/>
            <w:vAlign w:val="center"/>
            <w:hideMark/>
          </w:tcPr>
          <w:p w:rsidR="00A32A86" w:rsidRPr="008339A2" w:rsidRDefault="00A32A86" w:rsidP="00A32A86">
            <w:pPr>
              <w:jc w:val="center"/>
              <w:rPr>
                <w:b/>
                <w:sz w:val="18"/>
                <w:szCs w:val="18"/>
                <w:lang w:eastAsia="sk-SK"/>
              </w:rPr>
            </w:pPr>
            <w:r w:rsidRPr="008339A2">
              <w:rPr>
                <w:b/>
                <w:sz w:val="18"/>
                <w:szCs w:val="18"/>
                <w:lang w:eastAsia="sk-SK"/>
              </w:rPr>
              <w:t>Z/S</w:t>
            </w:r>
          </w:p>
        </w:tc>
        <w:tc>
          <w:tcPr>
            <w:tcW w:w="6080" w:type="dxa"/>
            <w:tcBorders>
              <w:top w:val="nil"/>
              <w:left w:val="nil"/>
              <w:bottom w:val="nil"/>
              <w:right w:val="nil"/>
            </w:tcBorders>
            <w:shd w:val="clear" w:color="000000" w:fill="FFFFFF"/>
            <w:noWrap/>
            <w:vAlign w:val="center"/>
            <w:hideMark/>
          </w:tcPr>
          <w:p w:rsidR="00A32A86" w:rsidRPr="008339A2" w:rsidRDefault="00A32A86" w:rsidP="00A32A86">
            <w:pPr>
              <w:rPr>
                <w:b/>
                <w:sz w:val="18"/>
                <w:szCs w:val="18"/>
                <w:lang w:eastAsia="sk-SK"/>
              </w:rPr>
            </w:pPr>
            <w:r w:rsidRPr="008339A2">
              <w:rPr>
                <w:b/>
                <w:sz w:val="18"/>
                <w:szCs w:val="18"/>
                <w:lang w:eastAsia="sk-SK"/>
              </w:rPr>
              <w:t>Zisk z bežnej činnosti pred zdanením</w:t>
            </w:r>
          </w:p>
        </w:tc>
        <w:tc>
          <w:tcPr>
            <w:tcW w:w="1280" w:type="dxa"/>
            <w:tcBorders>
              <w:top w:val="nil"/>
              <w:left w:val="single" w:sz="4" w:space="0" w:color="auto"/>
              <w:bottom w:val="nil"/>
              <w:right w:val="single" w:sz="4" w:space="0" w:color="auto"/>
            </w:tcBorders>
            <w:shd w:val="clear" w:color="000000" w:fill="FFFFFF"/>
            <w:noWrap/>
            <w:vAlign w:val="center"/>
            <w:hideMark/>
          </w:tcPr>
          <w:p w:rsidR="00A32A86" w:rsidRPr="008339A2" w:rsidRDefault="00A32A86" w:rsidP="00A32A86">
            <w:pPr>
              <w:jc w:val="right"/>
              <w:rPr>
                <w:b/>
                <w:sz w:val="18"/>
                <w:szCs w:val="18"/>
                <w:lang w:eastAsia="sk-SK"/>
              </w:rPr>
            </w:pPr>
            <w:r w:rsidRPr="008339A2">
              <w:rPr>
                <w:b/>
                <w:sz w:val="18"/>
                <w:szCs w:val="18"/>
                <w:lang w:eastAsia="sk-SK"/>
              </w:rPr>
              <w:t xml:space="preserve">-455 281  </w:t>
            </w:r>
          </w:p>
        </w:tc>
        <w:tc>
          <w:tcPr>
            <w:tcW w:w="1320" w:type="dxa"/>
            <w:tcBorders>
              <w:top w:val="nil"/>
              <w:left w:val="nil"/>
              <w:bottom w:val="nil"/>
              <w:right w:val="single" w:sz="4" w:space="0" w:color="auto"/>
            </w:tcBorders>
            <w:shd w:val="clear" w:color="000000" w:fill="FFFFFF"/>
            <w:noWrap/>
            <w:vAlign w:val="center"/>
            <w:hideMark/>
          </w:tcPr>
          <w:p w:rsidR="00A32A86" w:rsidRPr="008339A2" w:rsidRDefault="00A32A86" w:rsidP="00A32A86">
            <w:pPr>
              <w:jc w:val="right"/>
              <w:rPr>
                <w:b/>
                <w:sz w:val="18"/>
                <w:szCs w:val="18"/>
                <w:lang w:eastAsia="sk-SK"/>
              </w:rPr>
            </w:pPr>
            <w:r w:rsidRPr="008339A2">
              <w:rPr>
                <w:b/>
                <w:sz w:val="18"/>
                <w:szCs w:val="18"/>
                <w:lang w:eastAsia="sk-SK"/>
              </w:rPr>
              <w:t xml:space="preserve">-122 560  </w:t>
            </w:r>
          </w:p>
        </w:tc>
      </w:tr>
      <w:tr w:rsidR="00A32A86" w:rsidRPr="008339A2" w:rsidTr="00A32A86">
        <w:trPr>
          <w:trHeight w:val="510"/>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i/>
                <w:iCs/>
                <w:sz w:val="18"/>
                <w:szCs w:val="18"/>
                <w:lang w:eastAsia="sk-SK"/>
              </w:rPr>
            </w:pPr>
            <w:r w:rsidRPr="008339A2">
              <w:rPr>
                <w:i/>
                <w:iCs/>
                <w:sz w:val="18"/>
                <w:szCs w:val="18"/>
                <w:lang w:eastAsia="sk-SK"/>
              </w:rPr>
              <w:t>A. 1.</w:t>
            </w:r>
          </w:p>
        </w:tc>
        <w:tc>
          <w:tcPr>
            <w:tcW w:w="6080" w:type="dxa"/>
            <w:tcBorders>
              <w:top w:val="single" w:sz="4" w:space="0" w:color="auto"/>
              <w:left w:val="nil"/>
              <w:bottom w:val="single" w:sz="4" w:space="0" w:color="auto"/>
              <w:right w:val="nil"/>
            </w:tcBorders>
            <w:shd w:val="clear" w:color="000000" w:fill="FFFFFF"/>
            <w:vAlign w:val="center"/>
            <w:hideMark/>
          </w:tcPr>
          <w:p w:rsidR="00A32A86" w:rsidRPr="008339A2" w:rsidRDefault="00A32A86" w:rsidP="00A32A86">
            <w:pPr>
              <w:rPr>
                <w:i/>
                <w:iCs/>
                <w:sz w:val="18"/>
                <w:szCs w:val="18"/>
                <w:lang w:eastAsia="sk-SK"/>
              </w:rPr>
            </w:pPr>
            <w:r w:rsidRPr="008339A2">
              <w:rPr>
                <w:i/>
                <w:iCs/>
                <w:sz w:val="18"/>
                <w:szCs w:val="18"/>
                <w:lang w:eastAsia="sk-SK"/>
              </w:rPr>
              <w:t>Nepeňažné operácie ovplyvňujúce  výsledok hospodárenia z bežnej činnosti pred zdanením daňou z príjmov (+/-) (súčet A.1.1 až A.1.8.)</w:t>
            </w:r>
          </w:p>
        </w:tc>
        <w:tc>
          <w:tcPr>
            <w:tcW w:w="1280" w:type="dxa"/>
            <w:tcBorders>
              <w:top w:val="single" w:sz="4" w:space="0" w:color="auto"/>
              <w:left w:val="single" w:sz="4" w:space="0" w:color="auto"/>
              <w:bottom w:val="single" w:sz="4" w:space="0" w:color="auto"/>
              <w:right w:val="nil"/>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172 777  </w:t>
            </w:r>
          </w:p>
        </w:tc>
        <w:tc>
          <w:tcPr>
            <w:tcW w:w="13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154 026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A.1.1</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Odpisy stálych aktív</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197 217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188 194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A.1.2.</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Zmena stavu časového rozlíšenia nákladov a výnosov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235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-161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A.1.3.</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 xml:space="preserve">Úroky účtované do </w:t>
            </w:r>
            <w:proofErr w:type="spellStart"/>
            <w:r w:rsidRPr="008339A2">
              <w:rPr>
                <w:sz w:val="18"/>
                <w:szCs w:val="18"/>
                <w:lang w:eastAsia="sk-SK"/>
              </w:rPr>
              <w:t>do</w:t>
            </w:r>
            <w:proofErr w:type="spellEnd"/>
            <w:r w:rsidRPr="008339A2">
              <w:rPr>
                <w:sz w:val="18"/>
                <w:szCs w:val="18"/>
                <w:lang w:eastAsia="sk-SK"/>
              </w:rPr>
              <w:t xml:space="preserve"> nákladov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0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A.1.4.</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Úroky účtované do výnosov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-23 875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-24 723  </w:t>
            </w:r>
          </w:p>
        </w:tc>
      </w:tr>
      <w:tr w:rsidR="00A32A86" w:rsidRPr="008339A2" w:rsidTr="00A32A86">
        <w:trPr>
          <w:trHeight w:val="31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A.1.5.</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Strata (zisk) z predaja dlhodobého majetku</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-800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-9 284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A 1.6.</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Strata (zisk) z predaja cenných papierov a podielov</w:t>
            </w:r>
          </w:p>
        </w:tc>
        <w:tc>
          <w:tcPr>
            <w:tcW w:w="1280" w:type="dxa"/>
            <w:tcBorders>
              <w:top w:val="nil"/>
              <w:left w:val="nil"/>
              <w:bottom w:val="single" w:sz="4" w:space="0" w:color="auto"/>
              <w:right w:val="nil"/>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-39 593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sz w:val="18"/>
                <w:szCs w:val="18"/>
                <w:lang w:eastAsia="sk-SK"/>
              </w:rPr>
            </w:pPr>
            <w:r w:rsidRPr="008339A2">
              <w:rPr>
                <w:sz w:val="18"/>
                <w:szCs w:val="18"/>
                <w:lang w:eastAsia="sk-SK"/>
              </w:rPr>
              <w:t>A.2.</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i/>
                <w:iCs/>
                <w:sz w:val="18"/>
                <w:szCs w:val="18"/>
                <w:lang w:eastAsia="sk-SK"/>
              </w:rPr>
            </w:pPr>
            <w:r w:rsidRPr="008339A2">
              <w:rPr>
                <w:i/>
                <w:iCs/>
                <w:sz w:val="18"/>
                <w:szCs w:val="18"/>
                <w:lang w:eastAsia="sk-SK"/>
              </w:rPr>
              <w:t>Vplyv zmien pracovného kapitálu  (súčet A.2.1. až A.2.3.)</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-208 550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36 526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A.2.1.</w:t>
            </w:r>
          </w:p>
        </w:tc>
        <w:tc>
          <w:tcPr>
            <w:tcW w:w="60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Zmena stavu pohľadávok z prevádzkovej činnosti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-186 392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2 537  </w:t>
            </w:r>
          </w:p>
        </w:tc>
      </w:tr>
      <w:tr w:rsidR="00A32A86" w:rsidRPr="008339A2" w:rsidTr="00A32A86">
        <w:trPr>
          <w:trHeight w:val="27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A.2.2.</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Zmena stavu  záväzkov z prevádzkovej činnosti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-16 311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6 490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A.2.3.</w:t>
            </w:r>
          </w:p>
        </w:tc>
        <w:tc>
          <w:tcPr>
            <w:tcW w:w="60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Zmena stavu zásob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-5 847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27 499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sz w:val="18"/>
                <w:szCs w:val="18"/>
                <w:lang w:eastAsia="sk-SK"/>
              </w:rPr>
            </w:pPr>
            <w:r w:rsidRPr="008339A2">
              <w:rPr>
                <w:sz w:val="18"/>
                <w:szCs w:val="18"/>
                <w:lang w:eastAsia="sk-SK"/>
              </w:rPr>
              <w:t> </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b/>
                <w:bCs/>
                <w:i/>
                <w:iCs/>
                <w:sz w:val="18"/>
                <w:szCs w:val="18"/>
                <w:lang w:eastAsia="sk-SK"/>
              </w:rPr>
            </w:pPr>
            <w:r w:rsidRPr="008339A2">
              <w:rPr>
                <w:b/>
                <w:bCs/>
                <w:i/>
                <w:iCs/>
                <w:sz w:val="18"/>
                <w:szCs w:val="18"/>
                <w:lang w:eastAsia="sk-SK"/>
              </w:rPr>
              <w:t>Peňažné toky z prevádzky (súčet Z/S + A.1 + A.2.)</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-491 054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67 992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 3.</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 xml:space="preserve">Prijaté úroky </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23 875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16 824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 4.</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 xml:space="preserve">Výdavky na vyplatené dividendy </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-27 996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 5.</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Výdavky na vyplatené iné podiely na zisku - tantiémy</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-2 500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sz w:val="18"/>
                <w:szCs w:val="18"/>
                <w:lang w:eastAsia="sk-SK"/>
              </w:rPr>
            </w:pPr>
            <w:r w:rsidRPr="008339A2">
              <w:rPr>
                <w:sz w:val="18"/>
                <w:szCs w:val="18"/>
                <w:lang w:eastAsia="sk-SK"/>
              </w:rPr>
              <w:t> </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b/>
                <w:bCs/>
                <w:i/>
                <w:iCs/>
                <w:sz w:val="18"/>
                <w:szCs w:val="18"/>
                <w:lang w:eastAsia="sk-SK"/>
              </w:rPr>
            </w:pPr>
            <w:r w:rsidRPr="008339A2">
              <w:rPr>
                <w:b/>
                <w:bCs/>
                <w:i/>
                <w:iCs/>
                <w:sz w:val="18"/>
                <w:szCs w:val="18"/>
                <w:lang w:eastAsia="sk-SK"/>
              </w:rPr>
              <w:t>Peňažné toky z prevádzkovej činnosti (+/-), súčet Z/S + A.1. až A.5)</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-467 179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-4 797  </w:t>
            </w:r>
          </w:p>
        </w:tc>
      </w:tr>
      <w:tr w:rsidR="00A32A86" w:rsidRPr="008339A2" w:rsidTr="008339A2">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A. 6.</w:t>
            </w:r>
          </w:p>
        </w:tc>
        <w:tc>
          <w:tcPr>
            <w:tcW w:w="6080" w:type="dxa"/>
            <w:tcBorders>
              <w:top w:val="nil"/>
              <w:left w:val="nil"/>
              <w:bottom w:val="single" w:sz="4" w:space="0" w:color="auto"/>
              <w:right w:val="nil"/>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Výdavky na daň z príjmov účtovnej jednotky</w:t>
            </w:r>
          </w:p>
        </w:tc>
        <w:tc>
          <w:tcPr>
            <w:tcW w:w="128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-4 536  </w:t>
            </w:r>
          </w:p>
        </w:tc>
        <w:tc>
          <w:tcPr>
            <w:tcW w:w="132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-1 501  </w:t>
            </w:r>
          </w:p>
        </w:tc>
      </w:tr>
      <w:tr w:rsidR="00A32A86" w:rsidRPr="008339A2" w:rsidTr="008339A2">
        <w:trPr>
          <w:trHeight w:val="300"/>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b/>
                <w:bCs/>
                <w:i/>
                <w:iCs/>
                <w:sz w:val="18"/>
                <w:szCs w:val="18"/>
                <w:lang w:eastAsia="sk-SK"/>
              </w:rPr>
            </w:pPr>
            <w:r w:rsidRPr="008339A2">
              <w:rPr>
                <w:b/>
                <w:bCs/>
                <w:i/>
                <w:iCs/>
                <w:sz w:val="18"/>
                <w:szCs w:val="18"/>
                <w:lang w:eastAsia="sk-SK"/>
              </w:rPr>
              <w:t>A</w:t>
            </w:r>
          </w:p>
        </w:tc>
        <w:tc>
          <w:tcPr>
            <w:tcW w:w="6080" w:type="dxa"/>
            <w:tcBorders>
              <w:top w:val="single" w:sz="4" w:space="0" w:color="auto"/>
              <w:left w:val="nil"/>
              <w:bottom w:val="single" w:sz="4" w:space="0" w:color="auto"/>
              <w:right w:val="single" w:sz="4" w:space="0" w:color="auto"/>
            </w:tcBorders>
            <w:shd w:val="clear" w:color="000000" w:fill="FFFFFF"/>
            <w:vAlign w:val="center"/>
            <w:hideMark/>
          </w:tcPr>
          <w:p w:rsidR="00A32A86" w:rsidRPr="008339A2" w:rsidRDefault="00A32A86" w:rsidP="00A32A86">
            <w:pPr>
              <w:rPr>
                <w:b/>
                <w:bCs/>
                <w:i/>
                <w:iCs/>
                <w:sz w:val="18"/>
                <w:szCs w:val="18"/>
                <w:lang w:eastAsia="sk-SK"/>
              </w:rPr>
            </w:pPr>
            <w:r w:rsidRPr="008339A2">
              <w:rPr>
                <w:b/>
                <w:bCs/>
                <w:i/>
                <w:iCs/>
                <w:sz w:val="18"/>
                <w:szCs w:val="18"/>
                <w:lang w:eastAsia="sk-SK"/>
              </w:rPr>
              <w:t>Čisté peňažné toky z prevádzkovej činnosti (+/-), (súčet Z/S + A.1. až A.6.)</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i/>
                <w:iCs/>
                <w:sz w:val="18"/>
                <w:szCs w:val="18"/>
                <w:lang w:eastAsia="sk-SK"/>
              </w:rPr>
            </w:pPr>
            <w:r w:rsidRPr="008339A2">
              <w:rPr>
                <w:b/>
                <w:bCs/>
                <w:i/>
                <w:iCs/>
                <w:sz w:val="18"/>
                <w:szCs w:val="18"/>
                <w:lang w:eastAsia="sk-SK"/>
              </w:rPr>
              <w:t xml:space="preserve">-471 715  </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i/>
                <w:iCs/>
                <w:sz w:val="18"/>
                <w:szCs w:val="18"/>
                <w:lang w:eastAsia="sk-SK"/>
              </w:rPr>
            </w:pPr>
            <w:r w:rsidRPr="008339A2">
              <w:rPr>
                <w:b/>
                <w:bCs/>
                <w:i/>
                <w:iCs/>
                <w:sz w:val="18"/>
                <w:szCs w:val="18"/>
                <w:lang w:eastAsia="sk-SK"/>
              </w:rPr>
              <w:t xml:space="preserve">-6 298  </w:t>
            </w:r>
          </w:p>
        </w:tc>
      </w:tr>
      <w:tr w:rsidR="00A32A86" w:rsidRPr="008339A2" w:rsidTr="008339A2">
        <w:trPr>
          <w:trHeight w:val="300"/>
        </w:trPr>
        <w:tc>
          <w:tcPr>
            <w:tcW w:w="640" w:type="dxa"/>
            <w:tcBorders>
              <w:top w:val="single" w:sz="4" w:space="0" w:color="auto"/>
              <w:left w:val="single" w:sz="4" w:space="0" w:color="auto"/>
              <w:bottom w:val="single" w:sz="4" w:space="0" w:color="auto"/>
              <w:right w:val="nil"/>
            </w:tcBorders>
            <w:shd w:val="clear" w:color="000000" w:fill="FFFFFF"/>
            <w:noWrap/>
            <w:vAlign w:val="center"/>
            <w:hideMark/>
          </w:tcPr>
          <w:p w:rsidR="00A32A86" w:rsidRPr="008339A2" w:rsidRDefault="00A32A86" w:rsidP="00A32A86">
            <w:pPr>
              <w:jc w:val="center"/>
              <w:rPr>
                <w:b/>
                <w:bCs/>
                <w:sz w:val="18"/>
                <w:szCs w:val="18"/>
                <w:lang w:eastAsia="sk-SK"/>
              </w:rPr>
            </w:pPr>
            <w:r w:rsidRPr="008339A2">
              <w:rPr>
                <w:b/>
                <w:bCs/>
                <w:sz w:val="18"/>
                <w:szCs w:val="18"/>
                <w:lang w:eastAsia="sk-SK"/>
              </w:rPr>
              <w:lastRenderedPageBreak/>
              <w:t> </w:t>
            </w:r>
          </w:p>
        </w:tc>
        <w:tc>
          <w:tcPr>
            <w:tcW w:w="6080" w:type="dxa"/>
            <w:tcBorders>
              <w:top w:val="single" w:sz="4" w:space="0" w:color="auto"/>
              <w:left w:val="single" w:sz="4" w:space="0" w:color="auto"/>
              <w:bottom w:val="single" w:sz="4" w:space="0" w:color="auto"/>
              <w:right w:val="nil"/>
            </w:tcBorders>
            <w:shd w:val="clear" w:color="000000" w:fill="FFFFFF"/>
            <w:noWrap/>
            <w:vAlign w:val="center"/>
            <w:hideMark/>
          </w:tcPr>
          <w:p w:rsidR="00A32A86" w:rsidRPr="008339A2" w:rsidRDefault="00A32A86" w:rsidP="00A32A86">
            <w:pPr>
              <w:rPr>
                <w:b/>
                <w:bCs/>
                <w:sz w:val="18"/>
                <w:szCs w:val="18"/>
                <w:lang w:eastAsia="sk-SK"/>
              </w:rPr>
            </w:pPr>
            <w:r w:rsidRPr="008339A2">
              <w:rPr>
                <w:b/>
                <w:bCs/>
                <w:sz w:val="18"/>
                <w:szCs w:val="18"/>
                <w:lang w:eastAsia="sk-SK"/>
              </w:rPr>
              <w:t>Peňažné toky z investičnej činnosti</w:t>
            </w:r>
          </w:p>
        </w:tc>
        <w:tc>
          <w:tcPr>
            <w:tcW w:w="1280" w:type="dxa"/>
            <w:tcBorders>
              <w:top w:val="single" w:sz="4" w:space="0" w:color="auto"/>
              <w:left w:val="nil"/>
              <w:bottom w:val="single" w:sz="4" w:space="0" w:color="auto"/>
              <w:right w:val="nil"/>
            </w:tcBorders>
            <w:shd w:val="clear" w:color="000000" w:fill="FFFFFF"/>
            <w:noWrap/>
            <w:vAlign w:val="center"/>
            <w:hideMark/>
          </w:tcPr>
          <w:p w:rsidR="00A32A86" w:rsidRPr="008339A2" w:rsidRDefault="00A32A86" w:rsidP="00A32A86">
            <w:pPr>
              <w:rPr>
                <w:b/>
                <w:bCs/>
                <w:sz w:val="18"/>
                <w:szCs w:val="18"/>
                <w:lang w:eastAsia="sk-SK"/>
              </w:rPr>
            </w:pPr>
            <w:r w:rsidRPr="008339A2">
              <w:rPr>
                <w:b/>
                <w:bCs/>
                <w:sz w:val="18"/>
                <w:szCs w:val="18"/>
                <w:lang w:eastAsia="sk-SK"/>
              </w:rPr>
              <w:t> </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A32A86" w:rsidRPr="008339A2" w:rsidRDefault="00A32A86" w:rsidP="00A32A86">
            <w:pPr>
              <w:rPr>
                <w:b/>
                <w:bCs/>
                <w:sz w:val="18"/>
                <w:szCs w:val="18"/>
                <w:lang w:eastAsia="sk-SK"/>
              </w:rPr>
            </w:pPr>
            <w:r w:rsidRPr="008339A2">
              <w:rPr>
                <w:b/>
                <w:bCs/>
                <w:sz w:val="18"/>
                <w:szCs w:val="18"/>
                <w:lang w:eastAsia="sk-SK"/>
              </w:rPr>
              <w:t>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xml:space="preserve">B. 1. </w:t>
            </w:r>
          </w:p>
        </w:tc>
        <w:tc>
          <w:tcPr>
            <w:tcW w:w="60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Výdavky na obstaranie dlhodobého  majetku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-93 855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-64 185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B. 2.</w:t>
            </w:r>
          </w:p>
        </w:tc>
        <w:tc>
          <w:tcPr>
            <w:tcW w:w="60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Príjmy z predaja dlhodobého  majetku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800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9 583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xml:space="preserve">B. 3. </w:t>
            </w:r>
          </w:p>
        </w:tc>
        <w:tc>
          <w:tcPr>
            <w:tcW w:w="6080" w:type="dxa"/>
            <w:tcBorders>
              <w:top w:val="nil"/>
              <w:left w:val="nil"/>
              <w:bottom w:val="nil"/>
              <w:right w:val="nil"/>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Príjmy z predaja finančného majetku</w:t>
            </w:r>
          </w:p>
        </w:tc>
        <w:tc>
          <w:tcPr>
            <w:tcW w:w="1280" w:type="dxa"/>
            <w:tcBorders>
              <w:top w:val="nil"/>
              <w:left w:val="single" w:sz="4" w:space="0" w:color="auto"/>
              <w:bottom w:val="nil"/>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52 318  </w:t>
            </w:r>
          </w:p>
        </w:tc>
        <w:tc>
          <w:tcPr>
            <w:tcW w:w="1320" w:type="dxa"/>
            <w:tcBorders>
              <w:top w:val="nil"/>
              <w:left w:val="nil"/>
              <w:bottom w:val="nil"/>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b/>
                <w:bCs/>
                <w:i/>
                <w:iCs/>
                <w:sz w:val="18"/>
                <w:szCs w:val="18"/>
                <w:lang w:eastAsia="sk-SK"/>
              </w:rPr>
            </w:pPr>
            <w:r w:rsidRPr="008339A2">
              <w:rPr>
                <w:b/>
                <w:bCs/>
                <w:i/>
                <w:iCs/>
                <w:sz w:val="18"/>
                <w:szCs w:val="18"/>
                <w:lang w:eastAsia="sk-SK"/>
              </w:rPr>
              <w:t>B</w:t>
            </w:r>
          </w:p>
        </w:tc>
        <w:tc>
          <w:tcPr>
            <w:tcW w:w="6080" w:type="dxa"/>
            <w:tcBorders>
              <w:top w:val="single" w:sz="4" w:space="0" w:color="auto"/>
              <w:left w:val="nil"/>
              <w:bottom w:val="nil"/>
              <w:right w:val="single" w:sz="4" w:space="0" w:color="auto"/>
            </w:tcBorders>
            <w:shd w:val="clear" w:color="000000" w:fill="FFFFFF"/>
            <w:vAlign w:val="center"/>
            <w:hideMark/>
          </w:tcPr>
          <w:p w:rsidR="00A32A86" w:rsidRPr="008339A2" w:rsidRDefault="00A32A86" w:rsidP="00A32A86">
            <w:pPr>
              <w:rPr>
                <w:b/>
                <w:bCs/>
                <w:i/>
                <w:iCs/>
                <w:sz w:val="18"/>
                <w:szCs w:val="18"/>
                <w:lang w:eastAsia="sk-SK"/>
              </w:rPr>
            </w:pPr>
            <w:r w:rsidRPr="008339A2">
              <w:rPr>
                <w:b/>
                <w:bCs/>
                <w:i/>
                <w:iCs/>
                <w:sz w:val="18"/>
                <w:szCs w:val="18"/>
                <w:lang w:eastAsia="sk-SK"/>
              </w:rPr>
              <w:t>Čisté peňažné toky z investičnej činnosti (súčet B.1 až B. 2.)</w:t>
            </w:r>
          </w:p>
        </w:tc>
        <w:tc>
          <w:tcPr>
            <w:tcW w:w="1280" w:type="dxa"/>
            <w:tcBorders>
              <w:top w:val="single" w:sz="4" w:space="0" w:color="auto"/>
              <w:left w:val="nil"/>
              <w:bottom w:val="nil"/>
              <w:right w:val="single" w:sz="4" w:space="0" w:color="auto"/>
            </w:tcBorders>
            <w:shd w:val="clear" w:color="000000" w:fill="FFFFFF"/>
            <w:noWrap/>
            <w:vAlign w:val="center"/>
            <w:hideMark/>
          </w:tcPr>
          <w:p w:rsidR="00A32A86" w:rsidRPr="008339A2" w:rsidRDefault="00A32A86" w:rsidP="00A32A86">
            <w:pPr>
              <w:jc w:val="right"/>
              <w:rPr>
                <w:b/>
                <w:bCs/>
                <w:i/>
                <w:iCs/>
                <w:sz w:val="18"/>
                <w:szCs w:val="18"/>
                <w:lang w:eastAsia="sk-SK"/>
              </w:rPr>
            </w:pPr>
            <w:r w:rsidRPr="008339A2">
              <w:rPr>
                <w:b/>
                <w:bCs/>
                <w:i/>
                <w:iCs/>
                <w:sz w:val="18"/>
                <w:szCs w:val="18"/>
                <w:lang w:eastAsia="sk-SK"/>
              </w:rPr>
              <w:t xml:space="preserve">-93 055  </w:t>
            </w:r>
          </w:p>
        </w:tc>
        <w:tc>
          <w:tcPr>
            <w:tcW w:w="1320" w:type="dxa"/>
            <w:tcBorders>
              <w:top w:val="single" w:sz="4" w:space="0" w:color="auto"/>
              <w:left w:val="nil"/>
              <w:bottom w:val="nil"/>
              <w:right w:val="single" w:sz="4" w:space="0" w:color="auto"/>
            </w:tcBorders>
            <w:shd w:val="clear" w:color="000000" w:fill="FFFFFF"/>
            <w:noWrap/>
            <w:vAlign w:val="center"/>
            <w:hideMark/>
          </w:tcPr>
          <w:p w:rsidR="00A32A86" w:rsidRPr="008339A2" w:rsidRDefault="00A32A86" w:rsidP="00A32A86">
            <w:pPr>
              <w:jc w:val="right"/>
              <w:rPr>
                <w:b/>
                <w:bCs/>
                <w:i/>
                <w:iCs/>
                <w:sz w:val="18"/>
                <w:szCs w:val="18"/>
                <w:lang w:eastAsia="sk-SK"/>
              </w:rPr>
            </w:pPr>
            <w:r w:rsidRPr="008339A2">
              <w:rPr>
                <w:b/>
                <w:bCs/>
                <w:i/>
                <w:iCs/>
                <w:sz w:val="18"/>
                <w:szCs w:val="18"/>
                <w:lang w:eastAsia="sk-SK"/>
              </w:rPr>
              <w:t xml:space="preserve">-54 602  </w:t>
            </w:r>
          </w:p>
        </w:tc>
      </w:tr>
      <w:tr w:rsidR="00A32A86" w:rsidRPr="008339A2" w:rsidTr="00A32A86">
        <w:trPr>
          <w:trHeight w:val="255"/>
        </w:trPr>
        <w:tc>
          <w:tcPr>
            <w:tcW w:w="640" w:type="dxa"/>
            <w:tcBorders>
              <w:top w:val="nil"/>
              <w:left w:val="single" w:sz="4" w:space="0" w:color="auto"/>
              <w:bottom w:val="single" w:sz="4" w:space="0" w:color="auto"/>
              <w:right w:val="nil"/>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c>
          <w:tcPr>
            <w:tcW w:w="6080" w:type="dxa"/>
            <w:tcBorders>
              <w:top w:val="single" w:sz="4" w:space="0" w:color="auto"/>
              <w:left w:val="single" w:sz="4" w:space="0" w:color="auto"/>
              <w:bottom w:val="single" w:sz="4" w:space="0" w:color="auto"/>
              <w:right w:val="nil"/>
            </w:tcBorders>
            <w:shd w:val="clear" w:color="000000" w:fill="FFFFFF"/>
            <w:noWrap/>
            <w:vAlign w:val="center"/>
            <w:hideMark/>
          </w:tcPr>
          <w:p w:rsidR="00A32A86" w:rsidRPr="008339A2" w:rsidRDefault="00A32A86" w:rsidP="00A32A86">
            <w:pPr>
              <w:rPr>
                <w:b/>
                <w:bCs/>
                <w:sz w:val="18"/>
                <w:szCs w:val="18"/>
                <w:lang w:eastAsia="sk-SK"/>
              </w:rPr>
            </w:pPr>
            <w:r w:rsidRPr="008339A2">
              <w:rPr>
                <w:b/>
                <w:bCs/>
                <w:sz w:val="18"/>
                <w:szCs w:val="18"/>
                <w:lang w:eastAsia="sk-SK"/>
              </w:rPr>
              <w:t>Peňažné toky z finančnej činnosti</w:t>
            </w:r>
          </w:p>
        </w:tc>
        <w:tc>
          <w:tcPr>
            <w:tcW w:w="1280" w:type="dxa"/>
            <w:tcBorders>
              <w:top w:val="single" w:sz="4" w:space="0" w:color="auto"/>
              <w:left w:val="nil"/>
              <w:bottom w:val="single" w:sz="4" w:space="0" w:color="auto"/>
              <w:right w:val="nil"/>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c>
          <w:tcPr>
            <w:tcW w:w="1320" w:type="dxa"/>
            <w:tcBorders>
              <w:top w:val="single" w:sz="4" w:space="0" w:color="auto"/>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r>
      <w:tr w:rsidR="00A32A86" w:rsidRPr="008339A2" w:rsidTr="00A32A86">
        <w:trPr>
          <w:trHeight w:val="34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i/>
                <w:iCs/>
                <w:sz w:val="18"/>
                <w:szCs w:val="18"/>
                <w:lang w:eastAsia="sk-SK"/>
              </w:rPr>
            </w:pPr>
            <w:r w:rsidRPr="008339A2">
              <w:rPr>
                <w:i/>
                <w:iCs/>
                <w:sz w:val="18"/>
                <w:szCs w:val="18"/>
                <w:lang w:eastAsia="sk-SK"/>
              </w:rPr>
              <w:t xml:space="preserve">C. 1. </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i/>
                <w:iCs/>
                <w:sz w:val="18"/>
                <w:szCs w:val="18"/>
                <w:lang w:eastAsia="sk-SK"/>
              </w:rPr>
            </w:pPr>
            <w:r w:rsidRPr="008339A2">
              <w:rPr>
                <w:i/>
                <w:iCs/>
                <w:sz w:val="18"/>
                <w:szCs w:val="18"/>
                <w:lang w:eastAsia="sk-SK"/>
              </w:rPr>
              <w:t>Peňažné toky vo vlastnom imaní  (súčet C.1.1. až C.1.2.)</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i/>
                <w:iCs/>
                <w:sz w:val="18"/>
                <w:szCs w:val="18"/>
                <w:lang w:eastAsia="sk-SK"/>
              </w:rPr>
            </w:pPr>
            <w:r w:rsidRPr="008339A2">
              <w:rPr>
                <w:i/>
                <w:iCs/>
                <w:sz w:val="18"/>
                <w:szCs w:val="18"/>
                <w:lang w:eastAsia="sk-SK"/>
              </w:rPr>
              <w:t xml:space="preserve">-3 494  </w:t>
            </w:r>
          </w:p>
        </w:tc>
      </w:tr>
      <w:tr w:rsidR="00A32A86" w:rsidRPr="008339A2" w:rsidTr="00A32A86">
        <w:trPr>
          <w:trHeight w:val="28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C.1.1.</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Výdavky  spojené so znížením fondov vytvorených účtovnou jednotkou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-534  </w:t>
            </w:r>
          </w:p>
        </w:tc>
      </w:tr>
      <w:tr w:rsidR="00A32A86" w:rsidRPr="008339A2" w:rsidTr="00A32A86">
        <w:trPr>
          <w:trHeight w:val="27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C.1.2.</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tvorba sociálneho fondu zo zisku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sz w:val="18"/>
                <w:szCs w:val="18"/>
                <w:lang w:eastAsia="sk-SK"/>
              </w:rPr>
            </w:pPr>
            <w:r w:rsidRPr="008339A2">
              <w:rPr>
                <w:sz w:val="18"/>
                <w:szCs w:val="18"/>
                <w:lang w:eastAsia="sk-SK"/>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-2 500  </w:t>
            </w:r>
          </w:p>
        </w:tc>
      </w:tr>
      <w:tr w:rsidR="00A32A86" w:rsidRPr="008339A2" w:rsidTr="00A32A86">
        <w:trPr>
          <w:trHeight w:val="25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b/>
                <w:bCs/>
                <w:i/>
                <w:iCs/>
                <w:sz w:val="18"/>
                <w:szCs w:val="18"/>
                <w:lang w:eastAsia="sk-SK"/>
              </w:rPr>
            </w:pPr>
            <w:r w:rsidRPr="008339A2">
              <w:rPr>
                <w:b/>
                <w:bCs/>
                <w:i/>
                <w:iCs/>
                <w:sz w:val="18"/>
                <w:szCs w:val="18"/>
                <w:lang w:eastAsia="sk-SK"/>
              </w:rPr>
              <w:t>C.</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b/>
                <w:bCs/>
                <w:i/>
                <w:iCs/>
                <w:sz w:val="18"/>
                <w:szCs w:val="18"/>
                <w:lang w:eastAsia="sk-SK"/>
              </w:rPr>
            </w:pPr>
            <w:r w:rsidRPr="008339A2">
              <w:rPr>
                <w:b/>
                <w:bCs/>
                <w:i/>
                <w:iCs/>
                <w:sz w:val="18"/>
                <w:szCs w:val="18"/>
                <w:lang w:eastAsia="sk-SK"/>
              </w:rPr>
              <w:t xml:space="preserve">Čisté peňažné toky z finančnej činnosti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i/>
                <w:iCs/>
                <w:sz w:val="18"/>
                <w:szCs w:val="18"/>
                <w:lang w:eastAsia="sk-SK"/>
              </w:rPr>
            </w:pPr>
            <w:r w:rsidRPr="008339A2">
              <w:rPr>
                <w:b/>
                <w:bCs/>
                <w:i/>
                <w:iCs/>
                <w:sz w:val="18"/>
                <w:szCs w:val="18"/>
                <w:lang w:eastAsia="sk-SK"/>
              </w:rPr>
              <w:t xml:space="preserve">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i/>
                <w:iCs/>
                <w:sz w:val="18"/>
                <w:szCs w:val="18"/>
                <w:lang w:eastAsia="sk-SK"/>
              </w:rPr>
            </w:pPr>
            <w:r w:rsidRPr="008339A2">
              <w:rPr>
                <w:b/>
                <w:bCs/>
                <w:i/>
                <w:iCs/>
                <w:sz w:val="18"/>
                <w:szCs w:val="18"/>
                <w:lang w:eastAsia="sk-SK"/>
              </w:rPr>
              <w:t xml:space="preserve">-3 494  </w:t>
            </w:r>
          </w:p>
        </w:tc>
      </w:tr>
      <w:tr w:rsidR="00A32A86" w:rsidRPr="008339A2" w:rsidTr="00A32A86">
        <w:trPr>
          <w:trHeight w:val="51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b/>
                <w:bCs/>
                <w:sz w:val="18"/>
                <w:szCs w:val="18"/>
                <w:lang w:eastAsia="sk-SK"/>
              </w:rPr>
            </w:pPr>
            <w:r w:rsidRPr="008339A2">
              <w:rPr>
                <w:b/>
                <w:bCs/>
                <w:sz w:val="18"/>
                <w:szCs w:val="18"/>
                <w:lang w:eastAsia="sk-SK"/>
              </w:rPr>
              <w:t>D.</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b/>
                <w:bCs/>
                <w:sz w:val="18"/>
                <w:szCs w:val="18"/>
                <w:lang w:eastAsia="sk-SK"/>
              </w:rPr>
            </w:pPr>
            <w:r w:rsidRPr="008339A2">
              <w:rPr>
                <w:b/>
                <w:bCs/>
                <w:sz w:val="18"/>
                <w:szCs w:val="18"/>
                <w:lang w:eastAsia="sk-SK"/>
              </w:rPr>
              <w:t>Čisté zvýšenie alebo čisté zníženie peňažných prostriedkov   (súčet A+B+C)</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sz w:val="18"/>
                <w:szCs w:val="18"/>
                <w:lang w:eastAsia="sk-SK"/>
              </w:rPr>
            </w:pPr>
            <w:r w:rsidRPr="008339A2">
              <w:rPr>
                <w:b/>
                <w:bCs/>
                <w:sz w:val="18"/>
                <w:szCs w:val="18"/>
                <w:lang w:eastAsia="sk-SK"/>
              </w:rPr>
              <w:t xml:space="preserve">-564 770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sz w:val="18"/>
                <w:szCs w:val="18"/>
                <w:lang w:eastAsia="sk-SK"/>
              </w:rPr>
            </w:pPr>
            <w:r w:rsidRPr="008339A2">
              <w:rPr>
                <w:b/>
                <w:bCs/>
                <w:sz w:val="18"/>
                <w:szCs w:val="18"/>
                <w:lang w:eastAsia="sk-SK"/>
              </w:rPr>
              <w:t xml:space="preserve">-64 394  </w:t>
            </w:r>
          </w:p>
        </w:tc>
      </w:tr>
      <w:tr w:rsidR="00A32A86" w:rsidRPr="008339A2" w:rsidTr="00A32A86">
        <w:trPr>
          <w:trHeight w:val="51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b/>
                <w:bCs/>
                <w:sz w:val="18"/>
                <w:szCs w:val="18"/>
                <w:lang w:eastAsia="sk-SK"/>
              </w:rPr>
            </w:pPr>
            <w:r w:rsidRPr="008339A2">
              <w:rPr>
                <w:b/>
                <w:bCs/>
                <w:sz w:val="18"/>
                <w:szCs w:val="18"/>
                <w:lang w:eastAsia="sk-SK"/>
              </w:rPr>
              <w:t>E.</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b/>
                <w:bCs/>
                <w:sz w:val="18"/>
                <w:szCs w:val="18"/>
                <w:lang w:eastAsia="sk-SK"/>
              </w:rPr>
            </w:pPr>
            <w:r w:rsidRPr="008339A2">
              <w:rPr>
                <w:b/>
                <w:bCs/>
                <w:sz w:val="18"/>
                <w:szCs w:val="18"/>
                <w:lang w:eastAsia="sk-SK"/>
              </w:rPr>
              <w:t xml:space="preserve">Peňažné prostriedky a peňažné ekvivalenty na začiatku účtovného obdobia </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sz w:val="18"/>
                <w:szCs w:val="18"/>
                <w:lang w:eastAsia="sk-SK"/>
              </w:rPr>
            </w:pPr>
            <w:r w:rsidRPr="008339A2">
              <w:rPr>
                <w:b/>
                <w:bCs/>
                <w:sz w:val="18"/>
                <w:szCs w:val="18"/>
                <w:lang w:eastAsia="sk-SK"/>
              </w:rPr>
              <w:t xml:space="preserve">1 912 565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sz w:val="18"/>
                <w:szCs w:val="18"/>
                <w:lang w:eastAsia="sk-SK"/>
              </w:rPr>
            </w:pPr>
            <w:r w:rsidRPr="008339A2">
              <w:rPr>
                <w:b/>
                <w:bCs/>
                <w:sz w:val="18"/>
                <w:szCs w:val="18"/>
                <w:lang w:eastAsia="sk-SK"/>
              </w:rPr>
              <w:t xml:space="preserve">1 976 959  </w:t>
            </w:r>
          </w:p>
        </w:tc>
      </w:tr>
      <w:tr w:rsidR="00A32A86" w:rsidRPr="008339A2" w:rsidTr="00A32A86">
        <w:trPr>
          <w:trHeight w:val="76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sz w:val="18"/>
                <w:szCs w:val="18"/>
                <w:lang w:eastAsia="sk-SK"/>
              </w:rPr>
            </w:pPr>
            <w:r w:rsidRPr="008339A2">
              <w:rPr>
                <w:sz w:val="18"/>
                <w:szCs w:val="18"/>
                <w:lang w:eastAsia="sk-SK"/>
              </w:rPr>
              <w:t>F.</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Peňažné prostriedky a peňažné ekvivalenty na konci účtovného obdobia pred zohľadnením kurzových rozdielov vyčíslených ku dňu, ku ktorému sa zostavuje účtovná závierka</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1 360 520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sz w:val="18"/>
                <w:szCs w:val="18"/>
                <w:lang w:eastAsia="sk-SK"/>
              </w:rPr>
            </w:pPr>
            <w:r w:rsidRPr="008339A2">
              <w:rPr>
                <w:sz w:val="18"/>
                <w:szCs w:val="18"/>
                <w:lang w:eastAsia="sk-SK"/>
              </w:rPr>
              <w:t xml:space="preserve">1 912 565  </w:t>
            </w:r>
          </w:p>
        </w:tc>
      </w:tr>
      <w:tr w:rsidR="00A32A86" w:rsidRPr="008339A2" w:rsidTr="00A32A86">
        <w:trPr>
          <w:trHeight w:val="510"/>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sz w:val="18"/>
                <w:szCs w:val="18"/>
                <w:lang w:eastAsia="sk-SK"/>
              </w:rPr>
            </w:pPr>
            <w:r w:rsidRPr="008339A2">
              <w:rPr>
                <w:sz w:val="18"/>
                <w:szCs w:val="18"/>
                <w:lang w:eastAsia="sk-SK"/>
              </w:rPr>
              <w:t>G.</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sz w:val="18"/>
                <w:szCs w:val="18"/>
                <w:lang w:eastAsia="sk-SK"/>
              </w:rPr>
            </w:pPr>
            <w:r w:rsidRPr="008339A2">
              <w:rPr>
                <w:sz w:val="18"/>
                <w:szCs w:val="18"/>
                <w:lang w:eastAsia="sk-SK"/>
              </w:rPr>
              <w:t>Kurzové rozdiely vyčíslené k peňažným prostriedkom a peňažným ekvivalentom ku dňu, ku ktorému sa zostavuje účtovná závierka</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b/>
                <w:bCs/>
                <w:sz w:val="18"/>
                <w:szCs w:val="18"/>
                <w:lang w:eastAsia="sk-SK"/>
              </w:rPr>
            </w:pPr>
            <w:r w:rsidRPr="008339A2">
              <w:rPr>
                <w:b/>
                <w:bCs/>
                <w:sz w:val="18"/>
                <w:szCs w:val="18"/>
                <w:lang w:eastAsia="sk-SK"/>
              </w:rPr>
              <w:t>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rPr>
                <w:b/>
                <w:bCs/>
                <w:sz w:val="18"/>
                <w:szCs w:val="18"/>
                <w:lang w:eastAsia="sk-SK"/>
              </w:rPr>
            </w:pPr>
            <w:r w:rsidRPr="008339A2">
              <w:rPr>
                <w:b/>
                <w:bCs/>
                <w:sz w:val="18"/>
                <w:szCs w:val="18"/>
                <w:lang w:eastAsia="sk-SK"/>
              </w:rPr>
              <w:t> </w:t>
            </w:r>
          </w:p>
        </w:tc>
      </w:tr>
      <w:tr w:rsidR="00A32A86" w:rsidRPr="008339A2" w:rsidTr="00A32A86">
        <w:trPr>
          <w:trHeight w:val="43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A32A86" w:rsidRPr="008339A2" w:rsidRDefault="00A32A86" w:rsidP="00A32A86">
            <w:pPr>
              <w:jc w:val="center"/>
              <w:rPr>
                <w:b/>
                <w:bCs/>
                <w:sz w:val="18"/>
                <w:szCs w:val="18"/>
                <w:lang w:eastAsia="sk-SK"/>
              </w:rPr>
            </w:pPr>
            <w:r w:rsidRPr="008339A2">
              <w:rPr>
                <w:b/>
                <w:bCs/>
                <w:sz w:val="18"/>
                <w:szCs w:val="18"/>
                <w:lang w:eastAsia="sk-SK"/>
              </w:rPr>
              <w:t>H.</w:t>
            </w:r>
          </w:p>
        </w:tc>
        <w:tc>
          <w:tcPr>
            <w:tcW w:w="6080" w:type="dxa"/>
            <w:tcBorders>
              <w:top w:val="nil"/>
              <w:left w:val="nil"/>
              <w:bottom w:val="single" w:sz="4" w:space="0" w:color="auto"/>
              <w:right w:val="single" w:sz="4" w:space="0" w:color="auto"/>
            </w:tcBorders>
            <w:shd w:val="clear" w:color="000000" w:fill="FFFFFF"/>
            <w:vAlign w:val="center"/>
            <w:hideMark/>
          </w:tcPr>
          <w:p w:rsidR="00A32A86" w:rsidRPr="008339A2" w:rsidRDefault="00A32A86" w:rsidP="00A32A86">
            <w:pPr>
              <w:rPr>
                <w:b/>
                <w:bCs/>
                <w:sz w:val="18"/>
                <w:szCs w:val="18"/>
                <w:lang w:eastAsia="sk-SK"/>
              </w:rPr>
            </w:pPr>
            <w:r w:rsidRPr="008339A2">
              <w:rPr>
                <w:b/>
                <w:bCs/>
                <w:sz w:val="18"/>
                <w:szCs w:val="18"/>
                <w:lang w:eastAsia="sk-SK"/>
              </w:rPr>
              <w:t>Peňažné prostriedky a peňažné ekvivalenty na konci účtovného obdobia</w:t>
            </w:r>
          </w:p>
        </w:tc>
        <w:tc>
          <w:tcPr>
            <w:tcW w:w="128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sz w:val="18"/>
                <w:szCs w:val="18"/>
                <w:lang w:eastAsia="sk-SK"/>
              </w:rPr>
            </w:pPr>
            <w:r w:rsidRPr="008339A2">
              <w:rPr>
                <w:b/>
                <w:bCs/>
                <w:sz w:val="18"/>
                <w:szCs w:val="18"/>
                <w:lang w:eastAsia="sk-SK"/>
              </w:rPr>
              <w:t xml:space="preserve">1 360 520  </w:t>
            </w:r>
          </w:p>
        </w:tc>
        <w:tc>
          <w:tcPr>
            <w:tcW w:w="1320" w:type="dxa"/>
            <w:tcBorders>
              <w:top w:val="nil"/>
              <w:left w:val="nil"/>
              <w:bottom w:val="single" w:sz="4" w:space="0" w:color="auto"/>
              <w:right w:val="single" w:sz="4" w:space="0" w:color="auto"/>
            </w:tcBorders>
            <w:shd w:val="clear" w:color="000000" w:fill="FFFFFF"/>
            <w:noWrap/>
            <w:vAlign w:val="center"/>
            <w:hideMark/>
          </w:tcPr>
          <w:p w:rsidR="00A32A86" w:rsidRPr="008339A2" w:rsidRDefault="00A32A86" w:rsidP="00A32A86">
            <w:pPr>
              <w:jc w:val="right"/>
              <w:rPr>
                <w:b/>
                <w:bCs/>
                <w:sz w:val="18"/>
                <w:szCs w:val="18"/>
                <w:lang w:eastAsia="sk-SK"/>
              </w:rPr>
            </w:pPr>
            <w:r w:rsidRPr="008339A2">
              <w:rPr>
                <w:b/>
                <w:bCs/>
                <w:sz w:val="18"/>
                <w:szCs w:val="18"/>
                <w:lang w:eastAsia="sk-SK"/>
              </w:rPr>
              <w:t xml:space="preserve">1 912 565  </w:t>
            </w:r>
          </w:p>
        </w:tc>
      </w:tr>
    </w:tbl>
    <w:p w:rsidR="001C52F9" w:rsidRPr="001C52F9" w:rsidRDefault="001C52F9" w:rsidP="001C52F9">
      <w:pPr>
        <w:jc w:val="both"/>
        <w:rPr>
          <w:rFonts w:ascii="Arial Narrow" w:hAnsi="Arial Narrow" w:cs="Arial"/>
          <w:iCs/>
          <w:lang w:eastAsia="sk-SK"/>
        </w:rPr>
      </w:pPr>
    </w:p>
    <w:p w:rsidR="007C50B5" w:rsidRDefault="007C50B5" w:rsidP="003E0FA2">
      <w:pPr>
        <w:pStyle w:val="Zkladntext"/>
      </w:pPr>
    </w:p>
    <w:p w:rsidR="000A6FBA" w:rsidRPr="00775BCC" w:rsidRDefault="000A6FBA" w:rsidP="001C52F9">
      <w:pPr>
        <w:pStyle w:val="Zkladntext"/>
        <w:rPr>
          <w:lang w:val="de-DE"/>
        </w:rPr>
      </w:pPr>
    </w:p>
    <w:p w:rsidR="0058479C" w:rsidRDefault="0058479C" w:rsidP="008339A2">
      <w:pPr>
        <w:pStyle w:val="Zkladntext"/>
      </w:pPr>
      <w:r>
        <w:t>.</w:t>
      </w:r>
    </w:p>
    <w:p w:rsidR="008339A2" w:rsidRDefault="008339A2" w:rsidP="008339A2">
      <w:pPr>
        <w:pStyle w:val="Zkladntext"/>
        <w:ind w:left="0" w:firstLine="426"/>
        <w:rPr>
          <w:b/>
        </w:rPr>
      </w:pPr>
    </w:p>
    <w:p w:rsidR="008339A2" w:rsidRDefault="008339A2" w:rsidP="008339A2">
      <w:pPr>
        <w:pStyle w:val="Zkladntext"/>
        <w:ind w:left="0" w:firstLine="426"/>
        <w:rPr>
          <w:b/>
        </w:rPr>
      </w:pPr>
      <w:r>
        <w:rPr>
          <w:b/>
        </w:rPr>
        <w:t>Peňažné prostriedky</w:t>
      </w:r>
    </w:p>
    <w:p w:rsidR="008339A2" w:rsidRDefault="008339A2" w:rsidP="008339A2">
      <w:pPr>
        <w:pStyle w:val="Zkladntext"/>
        <w:rPr>
          <w:b/>
        </w:rPr>
      </w:pPr>
    </w:p>
    <w:p w:rsidR="008339A2" w:rsidRDefault="008339A2" w:rsidP="008339A2">
      <w:pPr>
        <w:pStyle w:val="Zkladntext"/>
      </w:pPr>
      <w:r>
        <w:t xml:space="preserve">Peňažnými prostriedkami (angl. </w:t>
      </w:r>
      <w:proofErr w:type="spellStart"/>
      <w:r>
        <w:t>cash</w:t>
      </w:r>
      <w:proofErr w:type="spellEnd"/>
      <w:r>
        <w:t xml:space="preserve">) sa rozumejú peňažné hotovosti, ekvivalenty peňažných hotovostí, peňažné prostriedky na bežných účtoch v bankách, kontokorentný účet a časť zostatku účtu Peniaze na ceste, ktorý sa viaže na prevod medzi bežným účtom a pokladnicou alebo medzi dvoma bankovými účtami. </w:t>
      </w:r>
    </w:p>
    <w:p w:rsidR="008339A2" w:rsidRDefault="008339A2" w:rsidP="008339A2">
      <w:pPr>
        <w:pStyle w:val="Zkladntext"/>
      </w:pPr>
    </w:p>
    <w:p w:rsidR="008339A2" w:rsidRDefault="008339A2" w:rsidP="008339A2">
      <w:pPr>
        <w:pStyle w:val="Zkladntext"/>
        <w:rPr>
          <w:b/>
        </w:rPr>
      </w:pPr>
    </w:p>
    <w:p w:rsidR="008339A2" w:rsidRDefault="008339A2" w:rsidP="008339A2">
      <w:pPr>
        <w:pStyle w:val="Zkladntext"/>
        <w:rPr>
          <w:b/>
        </w:rPr>
      </w:pPr>
      <w:r>
        <w:rPr>
          <w:b/>
        </w:rPr>
        <w:t>Ekvivalenty peňažných prostriedkov</w:t>
      </w:r>
    </w:p>
    <w:p w:rsidR="008339A2" w:rsidRDefault="008339A2" w:rsidP="008339A2">
      <w:pPr>
        <w:pStyle w:val="Zkladntext"/>
      </w:pPr>
    </w:p>
    <w:p w:rsidR="0058479C" w:rsidRDefault="008339A2" w:rsidP="008339A2">
      <w:pPr>
        <w:pStyle w:val="Zkladntext"/>
      </w:pPr>
      <w:r w:rsidRPr="00A32A86">
        <w:t xml:space="preserve">Ekvivalentmi peňažných prostriedkov (angl. </w:t>
      </w:r>
      <w:proofErr w:type="spellStart"/>
      <w:r w:rsidRPr="00A32A86">
        <w:t>cash</w:t>
      </w:r>
      <w:proofErr w:type="spellEnd"/>
      <w:r w:rsidRPr="00A32A86">
        <w:t xml:space="preserve"> </w:t>
      </w:r>
      <w:proofErr w:type="spellStart"/>
      <w:r w:rsidRPr="00A32A86">
        <w:t>equivalents</w:t>
      </w:r>
      <w:proofErr w:type="spellEnd"/>
      <w:r w:rsidRPr="00A32A86">
        <w:t>) sa rozumie krátkodobý finančný majetok zameniteľný za vopred známu sumu peňažných prostriedkov, pri ktorom nie je riziko výraznej zmeny jeho hodnoty v najbližších troch mesiacoch odo dňa, ku ktorému sa zostavuje účtovná závierka, napríklad termínované vklady na bankových účtoch, ktoré sú uložené najviac na trojmesačnú výpovednú lehotu, likvidné cenné papiere určené na obchodovanie, prioritné akcie obstarané účtovnou jednotkou, ktoré sú splatné do troch mesiacov odo dňa, ku ktorému sa zostavuje účtovná závierka</w:t>
      </w:r>
    </w:p>
    <w:sectPr w:rsidR="0058479C" w:rsidSect="005B316E">
      <w:headerReference w:type="default" r:id="rId80"/>
      <w:headerReference w:type="first" r:id="rId81"/>
      <w:footerReference w:type="first" r:id="rId82"/>
      <w:pgSz w:w="11906" w:h="16838" w:code="9"/>
      <w:pgMar w:top="1979" w:right="1021" w:bottom="1134" w:left="1673" w:header="675" w:footer="4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796" w:rsidRDefault="009E4796" w:rsidP="00E95128">
      <w:r>
        <w:separator/>
      </w:r>
    </w:p>
  </w:endnote>
  <w:endnote w:type="continuationSeparator" w:id="0">
    <w:p w:rsidR="009E4796" w:rsidRDefault="009E4796" w:rsidP="00E951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Pr="000D3235" w:rsidRDefault="00054763" w:rsidP="000658BA">
    <w:pPr>
      <w:tabs>
        <w:tab w:val="right" w:pos="9214"/>
      </w:tabs>
      <w:autoSpaceDE w:val="0"/>
      <w:autoSpaceDN w:val="0"/>
      <w:adjustRightInd w:val="0"/>
      <w:rPr>
        <w:rStyle w:val="slostrany"/>
        <w:sz w:val="16"/>
        <w:szCs w:val="16"/>
      </w:rPr>
    </w:pPr>
    <w:r w:rsidRPr="000D3235">
      <w:rPr>
        <w:rStyle w:val="slostrany"/>
        <w:b/>
      </w:rPr>
      <w:fldChar w:fldCharType="begin"/>
    </w:r>
    <w:r w:rsidR="00865A73" w:rsidRPr="000D3235">
      <w:rPr>
        <w:rStyle w:val="slostrany"/>
        <w:b/>
      </w:rPr>
      <w:instrText xml:space="preserve"> PAGE </w:instrText>
    </w:r>
    <w:r w:rsidRPr="000D3235">
      <w:rPr>
        <w:rStyle w:val="slostrany"/>
        <w:b/>
      </w:rPr>
      <w:fldChar w:fldCharType="separate"/>
    </w:r>
    <w:r w:rsidR="00865A73">
      <w:rPr>
        <w:rStyle w:val="slostrany"/>
        <w:b/>
        <w:noProof/>
      </w:rPr>
      <w:t>1</w:t>
    </w:r>
    <w:r w:rsidRPr="000D3235">
      <w:rPr>
        <w:rStyle w:val="slostrany"/>
        <w:b/>
      </w:rPr>
      <w:fldChar w:fldCharType="end"/>
    </w:r>
    <w:r w:rsidR="00865A73" w:rsidRPr="000D3235">
      <w:rPr>
        <w:rStyle w:val="slostrany"/>
        <w:sz w:val="16"/>
        <w:szCs w:val="16"/>
      </w:rPr>
      <w:tab/>
    </w:r>
    <w:r w:rsidR="00865A73" w:rsidRPr="000D3235">
      <w:rPr>
        <w:sz w:val="16"/>
        <w:szCs w:val="16"/>
        <w:lang w:val="de-DE"/>
      </w:rPr>
      <w:t xml:space="preserve">© 2006 KPMG </w:t>
    </w:r>
    <w:proofErr w:type="spellStart"/>
    <w:r w:rsidR="00865A73" w:rsidRPr="000D3235">
      <w:rPr>
        <w:sz w:val="16"/>
        <w:szCs w:val="16"/>
        <w:lang w:val="de-DE"/>
      </w:rPr>
      <w:t>Slovensko</w:t>
    </w:r>
    <w:proofErr w:type="spellEnd"/>
    <w:r w:rsidR="00865A73" w:rsidRPr="000D3235">
      <w:rPr>
        <w:sz w:val="16"/>
        <w:szCs w:val="16"/>
        <w:lang w:val="de-DE"/>
      </w:rPr>
      <w:t xml:space="preserve">, </w:t>
    </w:r>
    <w:proofErr w:type="spellStart"/>
    <w:r w:rsidR="00865A73" w:rsidRPr="000D3235">
      <w:rPr>
        <w:sz w:val="16"/>
        <w:szCs w:val="16"/>
        <w:lang w:val="de-DE"/>
      </w:rPr>
      <w:t>spol</w:t>
    </w:r>
    <w:proofErr w:type="spellEnd"/>
    <w:r w:rsidR="00865A73" w:rsidRPr="000D3235">
      <w:rPr>
        <w:sz w:val="16"/>
        <w:szCs w:val="16"/>
        <w:lang w:val="de-DE"/>
      </w:rPr>
      <w:t>. s r.o. Alle Rechte vorbehalten</w:t>
    </w:r>
    <w:r w:rsidR="00865A73" w:rsidRPr="000D3235">
      <w:rPr>
        <w:sz w:val="16"/>
        <w:szCs w:val="16"/>
      </w:rPr>
      <w:t xml:space="preserve">. </w:t>
    </w:r>
    <w:proofErr w:type="spellStart"/>
    <w:r w:rsidR="00865A73" w:rsidRPr="000D3235">
      <w:rPr>
        <w:sz w:val="16"/>
        <w:szCs w:val="16"/>
      </w:rPr>
      <w:t>Gedruckt</w:t>
    </w:r>
    <w:proofErr w:type="spellEnd"/>
    <w:r w:rsidR="00865A73" w:rsidRPr="000D3235">
      <w:rPr>
        <w:sz w:val="16"/>
        <w:szCs w:val="16"/>
      </w:rPr>
      <w:t xml:space="preserve"> in der </w:t>
    </w:r>
    <w:proofErr w:type="spellStart"/>
    <w:r w:rsidR="00865A73" w:rsidRPr="000D3235">
      <w:rPr>
        <w:sz w:val="16"/>
        <w:szCs w:val="16"/>
      </w:rPr>
      <w:t>Slowakei</w:t>
    </w:r>
    <w:proofErr w:type="spellEnd"/>
    <w:r w:rsidR="00865A73" w:rsidRPr="000D3235">
      <w:rPr>
        <w:sz w:val="16"/>
        <w:szCs w:val="16"/>
      </w:rPr>
      <w:t>.</w:t>
    </w:r>
  </w:p>
  <w:p w:rsidR="00865A73" w:rsidRPr="000D3235" w:rsidRDefault="00865A73" w:rsidP="000658BA">
    <w:pPr>
      <w:autoSpaceDE w:val="0"/>
      <w:autoSpaceDN w:val="0"/>
      <w:adjustRightInd w:val="0"/>
      <w:rPr>
        <w:sz w:val="16"/>
        <w:szCs w:val="16"/>
      </w:rPr>
    </w:pPr>
  </w:p>
  <w:p w:rsidR="00865A73" w:rsidRPr="000D3235" w:rsidRDefault="00865A73">
    <w:pPr>
      <w:pStyle w:val="Pta"/>
      <w:ind w:right="360"/>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Default="00865A73" w:rsidP="00F70C00">
    <w:pPr>
      <w:pStyle w:val="Pta"/>
      <w:tabs>
        <w:tab w:val="clear" w:pos="9072"/>
        <w:tab w:val="right" w:pos="9214"/>
      </w:tabs>
    </w:pPr>
    <w:r>
      <w:tab/>
    </w:r>
    <w:r w:rsidR="00054763" w:rsidRPr="00F70C00">
      <w:rPr>
        <w:b/>
      </w:rPr>
      <w:fldChar w:fldCharType="begin"/>
    </w:r>
    <w:r w:rsidRPr="00F70C00">
      <w:rPr>
        <w:b/>
      </w:rPr>
      <w:instrText xml:space="preserve"> PAGE   \* MERGEFORMAT </w:instrText>
    </w:r>
    <w:r w:rsidR="00054763" w:rsidRPr="00F70C00">
      <w:rPr>
        <w:b/>
      </w:rPr>
      <w:fldChar w:fldCharType="separate"/>
    </w:r>
    <w:r w:rsidR="00596215">
      <w:rPr>
        <w:b/>
        <w:noProof/>
      </w:rPr>
      <w:t>4</w:t>
    </w:r>
    <w:r w:rsidR="00054763" w:rsidRPr="00F70C00">
      <w:rPr>
        <w:b/>
      </w:rPr>
      <w:fldChar w:fldCharType="end"/>
    </w:r>
  </w:p>
  <w:p w:rsidR="00865A73" w:rsidRDefault="00865A73" w:rsidP="002F05C7">
    <w:pPr>
      <w:pStyle w:val="Pta"/>
      <w:rPr>
        <w:sz w:val="16"/>
        <w:szCs w:val="16"/>
      </w:rPr>
    </w:pPr>
  </w:p>
  <w:p w:rsidR="00865A73" w:rsidRPr="00F70C00" w:rsidRDefault="00865A73" w:rsidP="002F05C7">
    <w:pPr>
      <w:pStyle w:val="Pta"/>
      <w:rPr>
        <w:sz w:val="16"/>
        <w:szCs w:val="16"/>
      </w:rPr>
    </w:pPr>
    <w:r>
      <w:rPr>
        <w:sz w:val="16"/>
        <w:szCs w:val="16"/>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Pr="00310A8B" w:rsidRDefault="00865A73" w:rsidP="0058479C">
    <w:pPr>
      <w:jc w:val="both"/>
    </w:pPr>
  </w:p>
  <w:p w:rsidR="00865A73" w:rsidRPr="00310A8B" w:rsidRDefault="00865A73" w:rsidP="0058479C">
    <w:pPr>
      <w:pStyle w:val="Pt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844"/>
      <w:docPartObj>
        <w:docPartGallery w:val="Page Numbers (Bottom of Page)"/>
        <w:docPartUnique/>
      </w:docPartObj>
    </w:sdtPr>
    <w:sdtContent>
      <w:p w:rsidR="00865A73" w:rsidRDefault="00054763" w:rsidP="00BE1B47">
        <w:pPr>
          <w:pStyle w:val="Pta"/>
          <w:jc w:val="center"/>
        </w:pPr>
        <w:fldSimple w:instr=" PAGE   \* MERGEFORMAT ">
          <w:r w:rsidR="00596215">
            <w:rPr>
              <w:noProof/>
            </w:rPr>
            <w:t>2</w:t>
          </w:r>
        </w:fldSimple>
      </w:p>
    </w:sdtContent>
  </w:sdt>
  <w:p w:rsidR="00865A73" w:rsidRPr="009A69A7" w:rsidRDefault="00865A73" w:rsidP="009A69A7">
    <w:pPr>
      <w:pStyle w:val="Pta"/>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796" w:rsidRDefault="009E4796" w:rsidP="00E95128">
      <w:r>
        <w:separator/>
      </w:r>
    </w:p>
  </w:footnote>
  <w:footnote w:type="continuationSeparator" w:id="0">
    <w:p w:rsidR="009E4796" w:rsidRDefault="009E4796" w:rsidP="00E951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Default="00865A73" w:rsidP="000658BA">
    <w:pPr>
      <w:pStyle w:val="Hlavika"/>
      <w:tabs>
        <w:tab w:val="center" w:pos="4253"/>
        <w:tab w:val="right" w:pos="9214"/>
      </w:tabs>
      <w:ind w:right="-1"/>
      <w:rPr>
        <w:sz w:val="18"/>
        <w:szCs w:val="18"/>
      </w:rPr>
    </w:pPr>
  </w:p>
  <w:p w:rsidR="00865A73" w:rsidRPr="00803D2C" w:rsidRDefault="00865A73" w:rsidP="000658BA">
    <w:pPr>
      <w:pStyle w:val="Hlavika"/>
      <w:tabs>
        <w:tab w:val="center" w:pos="4253"/>
        <w:tab w:val="right" w:pos="9214"/>
      </w:tabs>
      <w:ind w:right="-1"/>
    </w:pPr>
    <w:r>
      <w:rPr>
        <w:noProof/>
        <w:lang w:eastAsia="sk-SK"/>
      </w:rPr>
      <w:drawing>
        <wp:anchor distT="0" distB="0" distL="114300" distR="114300" simplePos="0" relativeHeight="251657728" behindDoc="1" locked="0" layoutInCell="1" allowOverlap="1">
          <wp:simplePos x="0" y="0"/>
          <wp:positionH relativeFrom="column">
            <wp:posOffset>0</wp:posOffset>
          </wp:positionH>
          <wp:positionV relativeFrom="paragraph">
            <wp:posOffset>-1905</wp:posOffset>
          </wp:positionV>
          <wp:extent cx="629920" cy="243840"/>
          <wp:effectExtent l="19050" t="0" r="0" b="0"/>
          <wp:wrapThrough wrapText="bothSides">
            <wp:wrapPolygon edited="0">
              <wp:start x="0" y="0"/>
              <wp:lineTo x="-653" y="20250"/>
              <wp:lineTo x="20250" y="20250"/>
              <wp:lineTo x="20903" y="20250"/>
              <wp:lineTo x="21556" y="10125"/>
              <wp:lineTo x="21556" y="0"/>
              <wp:lineTo x="0" y="0"/>
            </wp:wrapPolygon>
          </wp:wrapThrough>
          <wp:docPr id="4" name="Picture 2" descr="KPMG_20mm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MG_20mm56"/>
                  <pic:cNvPicPr>
                    <a:picLocks noChangeAspect="1" noChangeArrowheads="1"/>
                  </pic:cNvPicPr>
                </pic:nvPicPr>
                <pic:blipFill>
                  <a:blip r:embed="rId1"/>
                  <a:srcRect/>
                  <a:stretch>
                    <a:fillRect/>
                  </a:stretch>
                </pic:blipFill>
                <pic:spPr bwMode="auto">
                  <a:xfrm>
                    <a:off x="0" y="0"/>
                    <a:ext cx="629920" cy="243840"/>
                  </a:xfrm>
                  <a:prstGeom prst="rect">
                    <a:avLst/>
                  </a:prstGeom>
                  <a:noFill/>
                  <a:ln w="9525">
                    <a:noFill/>
                    <a:miter lim="800000"/>
                    <a:headEnd/>
                    <a:tailEnd/>
                  </a:ln>
                </pic:spPr>
              </pic:pic>
            </a:graphicData>
          </a:graphic>
        </wp:anchor>
      </w:drawing>
    </w:r>
    <w:r>
      <w:rPr>
        <w:sz w:val="18"/>
        <w:szCs w:val="18"/>
      </w:rPr>
      <w:tab/>
    </w:r>
    <w:r>
      <w:rPr>
        <w:sz w:val="18"/>
        <w:szCs w:val="18"/>
      </w:rPr>
      <w:tab/>
    </w:r>
    <w:proofErr w:type="spellStart"/>
    <w:r w:rsidRPr="009D33FD">
      <w:rPr>
        <w:sz w:val="18"/>
      </w:rPr>
      <w:t>Illustrativer</w:t>
    </w:r>
    <w:proofErr w:type="spellEnd"/>
    <w:r w:rsidRPr="009D33FD">
      <w:rPr>
        <w:sz w:val="18"/>
      </w:rPr>
      <w:t xml:space="preserve"> </w:t>
    </w:r>
    <w:proofErr w:type="spellStart"/>
    <w:r w:rsidRPr="009D33FD">
      <w:rPr>
        <w:sz w:val="18"/>
      </w:rPr>
      <w:t>Jahresabschluss</w:t>
    </w:r>
    <w:proofErr w:type="spellEnd"/>
    <w:r w:rsidRPr="00252E14">
      <w:br/>
    </w:r>
    <w:r>
      <w:t xml:space="preserve"> </w:t>
    </w:r>
    <w:r>
      <w:tab/>
    </w:r>
    <w:r>
      <w:rPr>
        <w:b/>
        <w:bCs/>
        <w:sz w:val="18"/>
        <w:szCs w:val="18"/>
      </w:rPr>
      <w:t>AB</w:t>
    </w:r>
    <w:r w:rsidRPr="008D6361">
      <w:rPr>
        <w:b/>
        <w:bCs/>
        <w:sz w:val="18"/>
        <w:szCs w:val="18"/>
      </w:rPr>
      <w:t>C Slovenská výroba, spol. s r. o.</w:t>
    </w:r>
    <w:r>
      <w:rPr>
        <w:b/>
        <w:bCs/>
        <w:sz w:val="18"/>
        <w:szCs w:val="18"/>
      </w:rPr>
      <w:tab/>
    </w:r>
    <w:proofErr w:type="spellStart"/>
    <w:r w:rsidRPr="009D33FD">
      <w:rPr>
        <w:sz w:val="18"/>
      </w:rPr>
      <w:t>zum</w:t>
    </w:r>
    <w:proofErr w:type="spellEnd"/>
    <w:r w:rsidRPr="009D33FD">
      <w:rPr>
        <w:sz w:val="18"/>
      </w:rPr>
      <w:t xml:space="preserve"> 31. </w:t>
    </w:r>
    <w:r w:rsidRPr="000D3235">
      <w:rPr>
        <w:sz w:val="18"/>
        <w:lang w:val="de-DE"/>
      </w:rPr>
      <w:t xml:space="preserve">Dezember </w:t>
    </w:r>
    <w:r>
      <w:rPr>
        <w:sz w:val="18"/>
        <w:lang w:val="de-DE"/>
      </w:rPr>
      <w:t>2011</w:t>
    </w:r>
  </w:p>
  <w:p w:rsidR="00865A73" w:rsidRPr="000D3235" w:rsidRDefault="00865A73" w:rsidP="000658BA">
    <w:pPr>
      <w:pStyle w:val="Hlavik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Pr="004D635D" w:rsidRDefault="00865A73" w:rsidP="00C337A6">
    <w:pPr>
      <w:tabs>
        <w:tab w:val="left" w:pos="2145"/>
      </w:tabs>
      <w:rPr>
        <w:b/>
        <w:bCs/>
      </w:rPr>
    </w:pPr>
    <w:r>
      <w:rPr>
        <w:b/>
        <w:bCs/>
        <w:color w:val="FF9900"/>
        <w:u w:color="663300"/>
      </w:rPr>
      <w:t xml:space="preserve">  </w:t>
    </w:r>
    <w:r w:rsidRPr="000F2CA1">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65.9pt;height:42.8pt" o:ole="">
          <v:imagedata r:id="rId1" o:title=""/>
        </v:shape>
        <o:OLEObject Type="Embed" ProgID="PBrush" ShapeID="_x0000_i1058" DrawAspect="Content" ObjectID="_1427001822" r:id="rId2"/>
      </w:object>
    </w:r>
    <w:r w:rsidRPr="004D635D">
      <w:rPr>
        <w:b/>
        <w:bCs/>
        <w:sz w:val="28"/>
        <w:u w:color="663300"/>
      </w:rPr>
      <w:t>PRO POPULO PP a.s.</w:t>
    </w:r>
    <w:r w:rsidRPr="004D635D">
      <w:rPr>
        <w:b/>
        <w:bCs/>
        <w:u w:color="663300"/>
      </w:rPr>
      <w:t xml:space="preserve">, IČO 170 84 725, Námestie sv. </w:t>
    </w:r>
    <w:proofErr w:type="spellStart"/>
    <w:r w:rsidRPr="004D635D">
      <w:rPr>
        <w:b/>
        <w:bCs/>
        <w:u w:color="663300"/>
      </w:rPr>
      <w:t>Egídia</w:t>
    </w:r>
    <w:proofErr w:type="spellEnd"/>
    <w:r w:rsidRPr="004D635D">
      <w:rPr>
        <w:b/>
        <w:bCs/>
        <w:u w:color="663300"/>
      </w:rPr>
      <w:t xml:space="preserve"> 78, 058 01  Poprad, </w:t>
    </w:r>
  </w:p>
  <w:p w:rsidR="00865A73" w:rsidRDefault="00865A73" w:rsidP="00C337A6">
    <w:pPr>
      <w:pBdr>
        <w:top w:val="single" w:sz="12" w:space="1" w:color="FF9900"/>
      </w:pBdr>
      <w:tabs>
        <w:tab w:val="left" w:pos="2490"/>
      </w:tabs>
      <w:rPr>
        <w:color w:val="FF9900"/>
      </w:rPr>
    </w:pPr>
  </w:p>
  <w:p w:rsidR="00865A73" w:rsidRDefault="00865A73">
    <w:pPr>
      <w:pStyle w:val="Hlavika"/>
      <w:rPr>
        <w:sz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Default="00865A73" w:rsidP="002C1771">
    <w:pPr>
      <w:tabs>
        <w:tab w:val="left" w:pos="2145"/>
      </w:tabs>
      <w:rPr>
        <w:color w:val="FF9900"/>
      </w:rPr>
    </w:pPr>
    <w:r>
      <w:rPr>
        <w:b/>
        <w:bCs/>
        <w:color w:val="FF9900"/>
        <w:u w:color="663300"/>
      </w:rPr>
      <w:t xml:space="preserve">  </w:t>
    </w:r>
    <w:r w:rsidRPr="000F2CA1">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65.9pt;height:42.8pt" o:ole="">
          <v:imagedata r:id="rId1" o:title=""/>
        </v:shape>
        <o:OLEObject Type="Embed" ProgID="PBrush" ShapeID="_x0000_i1059" DrawAspect="Content" ObjectID="_1427001823" r:id="rId2"/>
      </w:object>
    </w:r>
    <w:r w:rsidRPr="004D635D">
      <w:rPr>
        <w:b/>
        <w:bCs/>
        <w:sz w:val="28"/>
        <w:u w:color="663300"/>
      </w:rPr>
      <w:t>PRO POPULO PP a.s.</w:t>
    </w:r>
    <w:r w:rsidRPr="004D635D">
      <w:rPr>
        <w:b/>
        <w:bCs/>
        <w:u w:color="663300"/>
      </w:rPr>
      <w:t xml:space="preserve">, IČO 170 84 725, Námestie sv. </w:t>
    </w:r>
    <w:proofErr w:type="spellStart"/>
    <w:r w:rsidRPr="004D635D">
      <w:rPr>
        <w:b/>
        <w:bCs/>
        <w:u w:color="663300"/>
      </w:rPr>
      <w:t>Egídia</w:t>
    </w:r>
    <w:proofErr w:type="spellEnd"/>
    <w:r w:rsidRPr="004D635D">
      <w:rPr>
        <w:b/>
        <w:bCs/>
        <w:u w:color="663300"/>
      </w:rPr>
      <w:t xml:space="preserve"> 78, 058 01  Poprad, </w:t>
    </w:r>
  </w:p>
  <w:p w:rsidR="00865A73" w:rsidRPr="00E95128" w:rsidRDefault="00865A73" w:rsidP="00C337A6">
    <w:pPr>
      <w:pStyle w:val="Hlavika"/>
      <w:tabs>
        <w:tab w:val="clear" w:pos="4536"/>
        <w:tab w:val="center" w:pos="4253"/>
        <w:tab w:val="right" w:pos="9214"/>
      </w:tabs>
      <w:jc w:val="center"/>
      <w:rPr>
        <w:sz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Default="00865A73" w:rsidP="00E95128">
    <w:pPr>
      <w:pStyle w:val="Hlavika"/>
      <w:tabs>
        <w:tab w:val="center" w:pos="4820"/>
        <w:tab w:val="right" w:pos="9214"/>
      </w:tabs>
      <w:jc w:val="right"/>
      <w:rPr>
        <w:sz w:val="18"/>
      </w:rPr>
    </w:pPr>
  </w:p>
  <w:p w:rsidR="00865A73" w:rsidRDefault="00865A73" w:rsidP="009A69A7">
    <w:pPr>
      <w:tabs>
        <w:tab w:val="left" w:pos="2145"/>
      </w:tabs>
      <w:rPr>
        <w:color w:val="FF9900"/>
      </w:rPr>
    </w:pPr>
    <w:r w:rsidRPr="00B0284D">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65.9pt;height:42.8pt" o:ole="">
          <v:imagedata r:id="rId1" o:title=""/>
        </v:shape>
        <o:OLEObject Type="Embed" ProgID="PBrush" ShapeID="_x0000_i1060" DrawAspect="Content" ObjectID="_1427001824" r:id="rId2"/>
      </w:object>
    </w:r>
    <w:r>
      <w:rPr>
        <w:b/>
        <w:bCs/>
        <w:sz w:val="28"/>
      </w:rPr>
      <w:t>PRO POPULO PP a.s.</w:t>
    </w:r>
    <w:r>
      <w:rPr>
        <w:b/>
        <w:bCs/>
      </w:rPr>
      <w:t xml:space="preserve">, IČO 170 84 725, Námestie sv. </w:t>
    </w:r>
    <w:proofErr w:type="spellStart"/>
    <w:r>
      <w:rPr>
        <w:b/>
        <w:bCs/>
      </w:rPr>
      <w:t>Egídia</w:t>
    </w:r>
    <w:proofErr w:type="spellEnd"/>
    <w:r>
      <w:rPr>
        <w:b/>
        <w:bCs/>
      </w:rPr>
      <w:t xml:space="preserve"> 78, 058 01  Poprad, </w:t>
    </w:r>
  </w:p>
  <w:p w:rsidR="00865A73" w:rsidRDefault="00865A73" w:rsidP="009A69A7">
    <w:pPr>
      <w:pStyle w:val="Hlavika"/>
      <w:tabs>
        <w:tab w:val="clear" w:pos="4536"/>
        <w:tab w:val="center" w:pos="4253"/>
        <w:tab w:val="right" w:pos="9214"/>
      </w:tabs>
      <w:jc w:val="center"/>
      <w:rPr>
        <w:sz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5A73" w:rsidRPr="004D635D" w:rsidRDefault="00865A73" w:rsidP="007752E5">
    <w:pPr>
      <w:tabs>
        <w:tab w:val="left" w:pos="2145"/>
      </w:tabs>
      <w:rPr>
        <w:b/>
        <w:bCs/>
      </w:rPr>
    </w:pPr>
    <w:r w:rsidRPr="000F2CA1">
      <w:rPr>
        <w:b/>
        <w:bCs/>
        <w:color w:val="FF9900"/>
      </w:rPr>
      <w:object w:dxaOrig="1320" w:dyaOrig="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65.9pt;height:42.8pt" o:ole="">
          <v:imagedata r:id="rId1" o:title=""/>
        </v:shape>
        <o:OLEObject Type="Embed" ProgID="PBrush" ShapeID="_x0000_i1061" DrawAspect="Content" ObjectID="_1427001825" r:id="rId2"/>
      </w:object>
    </w:r>
    <w:r w:rsidRPr="004D635D">
      <w:rPr>
        <w:b/>
        <w:bCs/>
        <w:sz w:val="28"/>
        <w:u w:color="663300"/>
      </w:rPr>
      <w:t>PRO POPULO PP a.s.</w:t>
    </w:r>
    <w:r w:rsidRPr="004D635D">
      <w:rPr>
        <w:b/>
        <w:bCs/>
        <w:u w:color="663300"/>
      </w:rPr>
      <w:t xml:space="preserve">, IČO 170 84 725, Námestie sv. </w:t>
    </w:r>
    <w:proofErr w:type="spellStart"/>
    <w:r w:rsidRPr="004D635D">
      <w:rPr>
        <w:b/>
        <w:bCs/>
        <w:u w:color="663300"/>
      </w:rPr>
      <w:t>Egídia</w:t>
    </w:r>
    <w:proofErr w:type="spellEnd"/>
    <w:r w:rsidRPr="004D635D">
      <w:rPr>
        <w:b/>
        <w:bCs/>
        <w:u w:color="663300"/>
      </w:rPr>
      <w:t xml:space="preserve"> 78, 058 01  Poprad, </w:t>
    </w:r>
  </w:p>
  <w:p w:rsidR="00865A73" w:rsidRPr="00E95128" w:rsidRDefault="00865A73" w:rsidP="00720702">
    <w:pPr>
      <w:pStyle w:val="Hlavika"/>
      <w:tabs>
        <w:tab w:val="clear" w:pos="4536"/>
        <w:tab w:val="clear" w:pos="9072"/>
        <w:tab w:val="left" w:pos="270"/>
        <w:tab w:val="center" w:pos="3969"/>
        <w:tab w:val="right" w:pos="9212"/>
      </w:tabs>
    </w:pPr>
    <w:r>
      <w:rPr>
        <w:b/>
        <w:bCs/>
        <w:sz w:val="18"/>
        <w:szCs w:val="18"/>
      </w:rPr>
      <w:tab/>
    </w:r>
  </w:p>
  <w:p w:rsidR="00865A73" w:rsidRPr="00E95128" w:rsidRDefault="00865A73" w:rsidP="008648B4">
    <w:pPr>
      <w:pStyle w:val="Hlavika"/>
      <w:tabs>
        <w:tab w:val="clear" w:pos="4536"/>
        <w:tab w:val="center" w:pos="4253"/>
        <w:tab w:val="right" w:pos="9214"/>
      </w:tabs>
      <w:jc w:val="right"/>
      <w:rPr>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4B71293"/>
    <w:multiLevelType w:val="singleLevel"/>
    <w:tmpl w:val="5D2CEDE4"/>
    <w:lvl w:ilvl="0">
      <w:start w:val="1"/>
      <w:numFmt w:val="bullet"/>
      <w:lvlText w:val=""/>
      <w:lvlJc w:val="left"/>
      <w:pPr>
        <w:tabs>
          <w:tab w:val="num" w:pos="340"/>
        </w:tabs>
        <w:ind w:left="340" w:hanging="340"/>
      </w:pPr>
      <w:rPr>
        <w:rFonts w:ascii="Symbol" w:hAnsi="Symbol" w:hint="default"/>
        <w:color w:val="auto"/>
        <w:sz w:val="22"/>
      </w:rPr>
    </w:lvl>
  </w:abstractNum>
  <w:abstractNum w:abstractNumId="2">
    <w:nsid w:val="0C5537CD"/>
    <w:multiLevelType w:val="hybridMultilevel"/>
    <w:tmpl w:val="FB08211E"/>
    <w:lvl w:ilvl="0" w:tplc="04090017">
      <w:start w:val="1"/>
      <w:numFmt w:val="lowerLetter"/>
      <w:lvlText w:val="%1)"/>
      <w:lvlJc w:val="left"/>
      <w:pPr>
        <w:tabs>
          <w:tab w:val="num" w:pos="1192"/>
        </w:tabs>
        <w:ind w:left="1192" w:hanging="360"/>
      </w:pPr>
      <w:rPr>
        <w:rFonts w:cs="Times New Roman"/>
      </w:rPr>
    </w:lvl>
    <w:lvl w:ilvl="1" w:tplc="04090019" w:tentative="1">
      <w:start w:val="1"/>
      <w:numFmt w:val="lowerLetter"/>
      <w:lvlText w:val="%2."/>
      <w:lvlJc w:val="left"/>
      <w:pPr>
        <w:tabs>
          <w:tab w:val="num" w:pos="1912"/>
        </w:tabs>
        <w:ind w:left="1912" w:hanging="360"/>
      </w:pPr>
      <w:rPr>
        <w:rFonts w:cs="Times New Roman"/>
      </w:rPr>
    </w:lvl>
    <w:lvl w:ilvl="2" w:tplc="0409001B" w:tentative="1">
      <w:start w:val="1"/>
      <w:numFmt w:val="lowerRoman"/>
      <w:lvlText w:val="%3."/>
      <w:lvlJc w:val="right"/>
      <w:pPr>
        <w:tabs>
          <w:tab w:val="num" w:pos="2632"/>
        </w:tabs>
        <w:ind w:left="2632" w:hanging="180"/>
      </w:pPr>
      <w:rPr>
        <w:rFonts w:cs="Times New Roman"/>
      </w:rPr>
    </w:lvl>
    <w:lvl w:ilvl="3" w:tplc="0409000F" w:tentative="1">
      <w:start w:val="1"/>
      <w:numFmt w:val="decimal"/>
      <w:lvlText w:val="%4."/>
      <w:lvlJc w:val="left"/>
      <w:pPr>
        <w:tabs>
          <w:tab w:val="num" w:pos="3352"/>
        </w:tabs>
        <w:ind w:left="3352" w:hanging="360"/>
      </w:pPr>
      <w:rPr>
        <w:rFonts w:cs="Times New Roman"/>
      </w:rPr>
    </w:lvl>
    <w:lvl w:ilvl="4" w:tplc="04090019" w:tentative="1">
      <w:start w:val="1"/>
      <w:numFmt w:val="lowerLetter"/>
      <w:lvlText w:val="%5."/>
      <w:lvlJc w:val="left"/>
      <w:pPr>
        <w:tabs>
          <w:tab w:val="num" w:pos="4072"/>
        </w:tabs>
        <w:ind w:left="4072" w:hanging="360"/>
      </w:pPr>
      <w:rPr>
        <w:rFonts w:cs="Times New Roman"/>
      </w:rPr>
    </w:lvl>
    <w:lvl w:ilvl="5" w:tplc="0409001B" w:tentative="1">
      <w:start w:val="1"/>
      <w:numFmt w:val="lowerRoman"/>
      <w:lvlText w:val="%6."/>
      <w:lvlJc w:val="right"/>
      <w:pPr>
        <w:tabs>
          <w:tab w:val="num" w:pos="4792"/>
        </w:tabs>
        <w:ind w:left="4792" w:hanging="180"/>
      </w:pPr>
      <w:rPr>
        <w:rFonts w:cs="Times New Roman"/>
      </w:rPr>
    </w:lvl>
    <w:lvl w:ilvl="6" w:tplc="0409000F" w:tentative="1">
      <w:start w:val="1"/>
      <w:numFmt w:val="decimal"/>
      <w:lvlText w:val="%7."/>
      <w:lvlJc w:val="left"/>
      <w:pPr>
        <w:tabs>
          <w:tab w:val="num" w:pos="5512"/>
        </w:tabs>
        <w:ind w:left="5512" w:hanging="360"/>
      </w:pPr>
      <w:rPr>
        <w:rFonts w:cs="Times New Roman"/>
      </w:rPr>
    </w:lvl>
    <w:lvl w:ilvl="7" w:tplc="04090019" w:tentative="1">
      <w:start w:val="1"/>
      <w:numFmt w:val="lowerLetter"/>
      <w:lvlText w:val="%8."/>
      <w:lvlJc w:val="left"/>
      <w:pPr>
        <w:tabs>
          <w:tab w:val="num" w:pos="6232"/>
        </w:tabs>
        <w:ind w:left="6232" w:hanging="360"/>
      </w:pPr>
      <w:rPr>
        <w:rFonts w:cs="Times New Roman"/>
      </w:rPr>
    </w:lvl>
    <w:lvl w:ilvl="8" w:tplc="0409001B" w:tentative="1">
      <w:start w:val="1"/>
      <w:numFmt w:val="lowerRoman"/>
      <w:lvlText w:val="%9."/>
      <w:lvlJc w:val="right"/>
      <w:pPr>
        <w:tabs>
          <w:tab w:val="num" w:pos="6952"/>
        </w:tabs>
        <w:ind w:left="6952" w:hanging="180"/>
      </w:pPr>
      <w:rPr>
        <w:rFonts w:cs="Times New Roman"/>
      </w:rPr>
    </w:lvl>
  </w:abstractNum>
  <w:abstractNum w:abstractNumId="3">
    <w:nsid w:val="15B444EE"/>
    <w:multiLevelType w:val="singleLevel"/>
    <w:tmpl w:val="36F0DF82"/>
    <w:lvl w:ilvl="0">
      <w:start w:val="1"/>
      <w:numFmt w:val="lowerLetter"/>
      <w:lvlText w:val="(%1)"/>
      <w:lvlJc w:val="left"/>
      <w:pPr>
        <w:tabs>
          <w:tab w:val="num" w:pos="360"/>
        </w:tabs>
        <w:ind w:left="360" w:hanging="360"/>
      </w:pPr>
      <w:rPr>
        <w:rFonts w:cs="Times New Roman" w:hint="default"/>
        <w:b/>
      </w:rPr>
    </w:lvl>
  </w:abstractNum>
  <w:abstractNum w:abstractNumId="4">
    <w:nsid w:val="161A1F5E"/>
    <w:multiLevelType w:val="singleLevel"/>
    <w:tmpl w:val="30BE6116"/>
    <w:lvl w:ilvl="0">
      <w:start w:val="5"/>
      <w:numFmt w:val="bullet"/>
      <w:lvlText w:val="-"/>
      <w:lvlJc w:val="left"/>
      <w:pPr>
        <w:tabs>
          <w:tab w:val="num" w:pos="360"/>
        </w:tabs>
        <w:ind w:left="360" w:hanging="360"/>
      </w:pPr>
      <w:rPr>
        <w:rFonts w:hint="default"/>
      </w:rPr>
    </w:lvl>
  </w:abstractNum>
  <w:abstractNum w:abstractNumId="5">
    <w:nsid w:val="1C7D1952"/>
    <w:multiLevelType w:val="hybridMultilevel"/>
    <w:tmpl w:val="3A7296C4"/>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6">
    <w:nsid w:val="1D2A1A4E"/>
    <w:multiLevelType w:val="hybridMultilevel"/>
    <w:tmpl w:val="B034514E"/>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abstractNum w:abstractNumId="7">
    <w:nsid w:val="24480A66"/>
    <w:multiLevelType w:val="singleLevel"/>
    <w:tmpl w:val="0409000F"/>
    <w:lvl w:ilvl="0">
      <w:start w:val="1"/>
      <w:numFmt w:val="decimal"/>
      <w:lvlText w:val="%1."/>
      <w:lvlJc w:val="left"/>
      <w:pPr>
        <w:tabs>
          <w:tab w:val="num" w:pos="450"/>
        </w:tabs>
        <w:ind w:left="450" w:hanging="360"/>
      </w:pPr>
      <w:rPr>
        <w:rFonts w:cs="Times New Roman"/>
      </w:rPr>
    </w:lvl>
  </w:abstractNum>
  <w:abstractNum w:abstractNumId="8">
    <w:nsid w:val="268B5771"/>
    <w:multiLevelType w:val="hybridMultilevel"/>
    <w:tmpl w:val="9BE411EA"/>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36BE61C3"/>
    <w:multiLevelType w:val="singleLevel"/>
    <w:tmpl w:val="E6BC554C"/>
    <w:lvl w:ilvl="0">
      <w:start w:val="1"/>
      <w:numFmt w:val="decimal"/>
      <w:pStyle w:val="Nadpis2"/>
      <w:lvlText w:val="%1."/>
      <w:lvlJc w:val="left"/>
      <w:pPr>
        <w:tabs>
          <w:tab w:val="num" w:pos="360"/>
        </w:tabs>
        <w:ind w:left="360" w:hanging="360"/>
      </w:pPr>
      <w:rPr>
        <w:rFonts w:cs="Times New Roman" w:hint="default"/>
      </w:rPr>
    </w:lvl>
  </w:abstractNum>
  <w:abstractNum w:abstractNumId="10">
    <w:nsid w:val="42074114"/>
    <w:multiLevelType w:val="hybridMultilevel"/>
    <w:tmpl w:val="D99AA040"/>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2292"/>
        </w:tabs>
        <w:ind w:left="2292" w:hanging="360"/>
      </w:pPr>
      <w:rPr>
        <w:rFonts w:ascii="Courier New" w:hAnsi="Courier New" w:hint="default"/>
      </w:rPr>
    </w:lvl>
    <w:lvl w:ilvl="2" w:tplc="041B0005" w:tentative="1">
      <w:start w:val="1"/>
      <w:numFmt w:val="bullet"/>
      <w:lvlText w:val=""/>
      <w:lvlJc w:val="left"/>
      <w:pPr>
        <w:tabs>
          <w:tab w:val="num" w:pos="3012"/>
        </w:tabs>
        <w:ind w:left="3012" w:hanging="360"/>
      </w:pPr>
      <w:rPr>
        <w:rFonts w:ascii="Wingdings" w:hAnsi="Wingdings" w:hint="default"/>
      </w:rPr>
    </w:lvl>
    <w:lvl w:ilvl="3" w:tplc="041B0001" w:tentative="1">
      <w:start w:val="1"/>
      <w:numFmt w:val="bullet"/>
      <w:lvlText w:val=""/>
      <w:lvlJc w:val="left"/>
      <w:pPr>
        <w:tabs>
          <w:tab w:val="num" w:pos="3732"/>
        </w:tabs>
        <w:ind w:left="3732" w:hanging="360"/>
      </w:pPr>
      <w:rPr>
        <w:rFonts w:ascii="Symbol" w:hAnsi="Symbol" w:hint="default"/>
      </w:rPr>
    </w:lvl>
    <w:lvl w:ilvl="4" w:tplc="041B0003" w:tentative="1">
      <w:start w:val="1"/>
      <w:numFmt w:val="bullet"/>
      <w:lvlText w:val="o"/>
      <w:lvlJc w:val="left"/>
      <w:pPr>
        <w:tabs>
          <w:tab w:val="num" w:pos="4452"/>
        </w:tabs>
        <w:ind w:left="4452" w:hanging="360"/>
      </w:pPr>
      <w:rPr>
        <w:rFonts w:ascii="Courier New" w:hAnsi="Courier New" w:hint="default"/>
      </w:rPr>
    </w:lvl>
    <w:lvl w:ilvl="5" w:tplc="041B0005" w:tentative="1">
      <w:start w:val="1"/>
      <w:numFmt w:val="bullet"/>
      <w:lvlText w:val=""/>
      <w:lvlJc w:val="left"/>
      <w:pPr>
        <w:tabs>
          <w:tab w:val="num" w:pos="5172"/>
        </w:tabs>
        <w:ind w:left="5172" w:hanging="360"/>
      </w:pPr>
      <w:rPr>
        <w:rFonts w:ascii="Wingdings" w:hAnsi="Wingdings" w:hint="default"/>
      </w:rPr>
    </w:lvl>
    <w:lvl w:ilvl="6" w:tplc="041B0001" w:tentative="1">
      <w:start w:val="1"/>
      <w:numFmt w:val="bullet"/>
      <w:lvlText w:val=""/>
      <w:lvlJc w:val="left"/>
      <w:pPr>
        <w:tabs>
          <w:tab w:val="num" w:pos="5892"/>
        </w:tabs>
        <w:ind w:left="5892" w:hanging="360"/>
      </w:pPr>
      <w:rPr>
        <w:rFonts w:ascii="Symbol" w:hAnsi="Symbol" w:hint="default"/>
      </w:rPr>
    </w:lvl>
    <w:lvl w:ilvl="7" w:tplc="041B0003" w:tentative="1">
      <w:start w:val="1"/>
      <w:numFmt w:val="bullet"/>
      <w:lvlText w:val="o"/>
      <w:lvlJc w:val="left"/>
      <w:pPr>
        <w:tabs>
          <w:tab w:val="num" w:pos="6612"/>
        </w:tabs>
        <w:ind w:left="6612" w:hanging="360"/>
      </w:pPr>
      <w:rPr>
        <w:rFonts w:ascii="Courier New" w:hAnsi="Courier New" w:hint="default"/>
      </w:rPr>
    </w:lvl>
    <w:lvl w:ilvl="8" w:tplc="041B0005" w:tentative="1">
      <w:start w:val="1"/>
      <w:numFmt w:val="bullet"/>
      <w:lvlText w:val=""/>
      <w:lvlJc w:val="left"/>
      <w:pPr>
        <w:tabs>
          <w:tab w:val="num" w:pos="7332"/>
        </w:tabs>
        <w:ind w:left="7332" w:hanging="360"/>
      </w:pPr>
      <w:rPr>
        <w:rFonts w:ascii="Wingdings" w:hAnsi="Wingdings" w:hint="default"/>
      </w:rPr>
    </w:lvl>
  </w:abstractNum>
  <w:abstractNum w:abstractNumId="11">
    <w:nsid w:val="73473C13"/>
    <w:multiLevelType w:val="singleLevel"/>
    <w:tmpl w:val="2A50B936"/>
    <w:lvl w:ilvl="0">
      <w:start w:val="1"/>
      <w:numFmt w:val="upperLetter"/>
      <w:pStyle w:val="Nadpis1"/>
      <w:lvlText w:val="%1."/>
      <w:lvlJc w:val="left"/>
      <w:pPr>
        <w:tabs>
          <w:tab w:val="num" w:pos="450"/>
        </w:tabs>
        <w:ind w:left="450" w:hanging="360"/>
      </w:pPr>
      <w:rPr>
        <w:rFonts w:cs="Times New Roman" w:hint="default"/>
      </w:rPr>
    </w:lvl>
  </w:abstractNum>
  <w:abstractNum w:abstractNumId="12">
    <w:nsid w:val="74B22D21"/>
    <w:multiLevelType w:val="hybridMultilevel"/>
    <w:tmpl w:val="FFB42D56"/>
    <w:lvl w:ilvl="0" w:tplc="A6CEDE30">
      <w:start w:val="1"/>
      <w:numFmt w:val="bullet"/>
      <w:lvlText w:val="–"/>
      <w:lvlJc w:val="left"/>
      <w:pPr>
        <w:tabs>
          <w:tab w:val="num" w:pos="720"/>
        </w:tabs>
        <w:ind w:left="720" w:hanging="360"/>
      </w:pPr>
      <w:rPr>
        <w:rFonts w:ascii="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78CD316A"/>
    <w:multiLevelType w:val="singleLevel"/>
    <w:tmpl w:val="28081C9C"/>
    <w:lvl w:ilvl="0">
      <w:start w:val="1"/>
      <w:numFmt w:val="lowerLetter"/>
      <w:pStyle w:val="Pismenka"/>
      <w:lvlText w:val="(%1)"/>
      <w:lvlJc w:val="left"/>
      <w:pPr>
        <w:tabs>
          <w:tab w:val="num" w:pos="360"/>
        </w:tabs>
        <w:ind w:left="360" w:hanging="360"/>
      </w:pPr>
      <w:rPr>
        <w:rFonts w:cs="Times New Roman" w:hint="default"/>
      </w:rPr>
    </w:lvl>
  </w:abstractNum>
  <w:abstractNum w:abstractNumId="14">
    <w:nsid w:val="7D8531CC"/>
    <w:multiLevelType w:val="hybridMultilevel"/>
    <w:tmpl w:val="52AE7564"/>
    <w:lvl w:ilvl="0" w:tplc="6660CD6E">
      <w:start w:val="1"/>
      <w:numFmt w:val="bullet"/>
      <w:lvlText w:val="–"/>
      <w:lvlJc w:val="left"/>
      <w:pPr>
        <w:tabs>
          <w:tab w:val="num" w:pos="766"/>
        </w:tabs>
        <w:ind w:left="766" w:hanging="340"/>
      </w:pPr>
      <w:rPr>
        <w:rFonts w:ascii="Times New Roman" w:hAnsi="Times New Roman" w:hint="default"/>
      </w:rPr>
    </w:lvl>
    <w:lvl w:ilvl="1" w:tplc="041B0003" w:tentative="1">
      <w:start w:val="1"/>
      <w:numFmt w:val="bullet"/>
      <w:lvlText w:val="o"/>
      <w:lvlJc w:val="left"/>
      <w:pPr>
        <w:tabs>
          <w:tab w:val="num" w:pos="1866"/>
        </w:tabs>
        <w:ind w:left="1866" w:hanging="360"/>
      </w:pPr>
      <w:rPr>
        <w:rFonts w:ascii="Courier New" w:hAnsi="Courier New" w:hint="default"/>
      </w:rPr>
    </w:lvl>
    <w:lvl w:ilvl="2" w:tplc="041B0005" w:tentative="1">
      <w:start w:val="1"/>
      <w:numFmt w:val="bullet"/>
      <w:lvlText w:val=""/>
      <w:lvlJc w:val="left"/>
      <w:pPr>
        <w:tabs>
          <w:tab w:val="num" w:pos="2586"/>
        </w:tabs>
        <w:ind w:left="2586" w:hanging="360"/>
      </w:pPr>
      <w:rPr>
        <w:rFonts w:ascii="Wingdings" w:hAnsi="Wingdings" w:hint="default"/>
      </w:rPr>
    </w:lvl>
    <w:lvl w:ilvl="3" w:tplc="041B0001" w:tentative="1">
      <w:start w:val="1"/>
      <w:numFmt w:val="bullet"/>
      <w:lvlText w:val=""/>
      <w:lvlJc w:val="left"/>
      <w:pPr>
        <w:tabs>
          <w:tab w:val="num" w:pos="3306"/>
        </w:tabs>
        <w:ind w:left="3306" w:hanging="360"/>
      </w:pPr>
      <w:rPr>
        <w:rFonts w:ascii="Symbol" w:hAnsi="Symbol" w:hint="default"/>
      </w:rPr>
    </w:lvl>
    <w:lvl w:ilvl="4" w:tplc="041B0003" w:tentative="1">
      <w:start w:val="1"/>
      <w:numFmt w:val="bullet"/>
      <w:lvlText w:val="o"/>
      <w:lvlJc w:val="left"/>
      <w:pPr>
        <w:tabs>
          <w:tab w:val="num" w:pos="4026"/>
        </w:tabs>
        <w:ind w:left="4026" w:hanging="360"/>
      </w:pPr>
      <w:rPr>
        <w:rFonts w:ascii="Courier New" w:hAnsi="Courier New" w:hint="default"/>
      </w:rPr>
    </w:lvl>
    <w:lvl w:ilvl="5" w:tplc="041B0005" w:tentative="1">
      <w:start w:val="1"/>
      <w:numFmt w:val="bullet"/>
      <w:lvlText w:val=""/>
      <w:lvlJc w:val="left"/>
      <w:pPr>
        <w:tabs>
          <w:tab w:val="num" w:pos="4746"/>
        </w:tabs>
        <w:ind w:left="4746" w:hanging="360"/>
      </w:pPr>
      <w:rPr>
        <w:rFonts w:ascii="Wingdings" w:hAnsi="Wingdings" w:hint="default"/>
      </w:rPr>
    </w:lvl>
    <w:lvl w:ilvl="6" w:tplc="041B0001" w:tentative="1">
      <w:start w:val="1"/>
      <w:numFmt w:val="bullet"/>
      <w:lvlText w:val=""/>
      <w:lvlJc w:val="left"/>
      <w:pPr>
        <w:tabs>
          <w:tab w:val="num" w:pos="5466"/>
        </w:tabs>
        <w:ind w:left="5466" w:hanging="360"/>
      </w:pPr>
      <w:rPr>
        <w:rFonts w:ascii="Symbol" w:hAnsi="Symbol" w:hint="default"/>
      </w:rPr>
    </w:lvl>
    <w:lvl w:ilvl="7" w:tplc="041B0003" w:tentative="1">
      <w:start w:val="1"/>
      <w:numFmt w:val="bullet"/>
      <w:lvlText w:val="o"/>
      <w:lvlJc w:val="left"/>
      <w:pPr>
        <w:tabs>
          <w:tab w:val="num" w:pos="6186"/>
        </w:tabs>
        <w:ind w:left="6186" w:hanging="360"/>
      </w:pPr>
      <w:rPr>
        <w:rFonts w:ascii="Courier New" w:hAnsi="Courier New" w:hint="default"/>
      </w:rPr>
    </w:lvl>
    <w:lvl w:ilvl="8" w:tplc="041B0005" w:tentative="1">
      <w:start w:val="1"/>
      <w:numFmt w:val="bullet"/>
      <w:lvlText w:val=""/>
      <w:lvlJc w:val="left"/>
      <w:pPr>
        <w:tabs>
          <w:tab w:val="num" w:pos="6906"/>
        </w:tabs>
        <w:ind w:left="6906" w:hanging="360"/>
      </w:pPr>
      <w:rPr>
        <w:rFonts w:ascii="Wingdings" w:hAnsi="Wingdings" w:hint="default"/>
      </w:rPr>
    </w:lvl>
  </w:abstractNum>
  <w:num w:numId="1">
    <w:abstractNumId w:val="11"/>
  </w:num>
  <w:num w:numId="2">
    <w:abstractNumId w:val="9"/>
  </w:num>
  <w:num w:numId="3">
    <w:abstractNumId w:val="7"/>
  </w:num>
  <w:num w:numId="4">
    <w:abstractNumId w:val="12"/>
  </w:num>
  <w:num w:numId="5">
    <w:abstractNumId w:val="0"/>
    <w:lvlOverride w:ilvl="0">
      <w:lvl w:ilvl="0">
        <w:start w:val="1"/>
        <w:numFmt w:val="bullet"/>
        <w:lvlText w:val="-"/>
        <w:legacy w:legacy="1" w:legacySpace="0" w:legacyIndent="360"/>
        <w:lvlJc w:val="left"/>
        <w:pPr>
          <w:ind w:left="360" w:hanging="360"/>
        </w:pPr>
      </w:lvl>
    </w:lvlOverride>
  </w:num>
  <w:num w:numId="6">
    <w:abstractNumId w:val="9"/>
  </w:num>
  <w:num w:numId="7">
    <w:abstractNumId w:val="13"/>
  </w:num>
  <w:num w:numId="8">
    <w:abstractNumId w:val="2"/>
  </w:num>
  <w:num w:numId="9">
    <w:abstractNumId w:val="9"/>
  </w:num>
  <w:num w:numId="10">
    <w:abstractNumId w:val="9"/>
  </w:num>
  <w:num w:numId="11">
    <w:abstractNumId w:val="3"/>
  </w:num>
  <w:num w:numId="12">
    <w:abstractNumId w:val="9"/>
  </w:num>
  <w:num w:numId="13">
    <w:abstractNumId w:val="9"/>
  </w:num>
  <w:num w:numId="14">
    <w:abstractNumId w:val="4"/>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1"/>
  </w:num>
  <w:num w:numId="20">
    <w:abstractNumId w:val="9"/>
    <w:lvlOverride w:ilvl="0">
      <w:startOverride w:val="1"/>
    </w:lvlOverride>
  </w:num>
  <w:num w:numId="21">
    <w:abstractNumId w:val="10"/>
  </w:num>
  <w:num w:numId="22">
    <w:abstractNumId w:val="6"/>
  </w:num>
  <w:num w:numId="23">
    <w:abstractNumId w:val="5"/>
  </w:num>
  <w:num w:numId="24">
    <w:abstractNumId w:val="14"/>
  </w:num>
  <w:num w:numId="25">
    <w:abstractNumId w:val="9"/>
    <w:lvlOverride w:ilvl="0">
      <w:startOverride w:val="1"/>
    </w:lvlOverride>
  </w:num>
  <w:num w:numId="26">
    <w:abstractNumId w:val="9"/>
    <w:lvlOverride w:ilvl="0">
      <w:startOverride w:val="1"/>
    </w:lvlOverride>
  </w:num>
  <w:num w:numId="27">
    <w:abstractNumId w:val="9"/>
    <w:lvlOverride w:ilvl="0">
      <w:startOverride w:val="1"/>
    </w:lvlOverride>
  </w:num>
  <w:num w:numId="28">
    <w:abstractNumId w:val="9"/>
    <w:lvlOverride w:ilvl="0">
      <w:startOverride w:val="1"/>
    </w:lvlOverride>
  </w:num>
  <w:num w:numId="29">
    <w:abstractNumId w:val="9"/>
    <w:lvlOverride w:ilvl="0">
      <w:startOverride w:val="1"/>
    </w:lvlOverride>
  </w:num>
  <w:num w:numId="30">
    <w:abstractNumId w:val="9"/>
  </w:num>
  <w:num w:numId="31">
    <w:abstractNumId w:val="9"/>
  </w:num>
  <w:num w:numId="32">
    <w:abstractNumId w:val="9"/>
  </w:num>
  <w:num w:numId="33">
    <w:abstractNumId w:val="9"/>
  </w:num>
  <w:num w:numId="34">
    <w:abstractNumId w:val="7"/>
    <w:lvlOverride w:ilvl="0">
      <w:startOverride w:val="1"/>
    </w:lvlOverride>
  </w:num>
  <w:num w:numId="35">
    <w:abstractNumId w:val="9"/>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205826"/>
  </w:hdrShapeDefaults>
  <w:footnotePr>
    <w:footnote w:id="-1"/>
    <w:footnote w:id="0"/>
  </w:footnotePr>
  <w:endnotePr>
    <w:endnote w:id="-1"/>
    <w:endnote w:id="0"/>
  </w:endnotePr>
  <w:compat/>
  <w:rsids>
    <w:rsidRoot w:val="00E95128"/>
    <w:rsid w:val="0000290B"/>
    <w:rsid w:val="00002921"/>
    <w:rsid w:val="00003C63"/>
    <w:rsid w:val="000040F5"/>
    <w:rsid w:val="00006F02"/>
    <w:rsid w:val="0000751D"/>
    <w:rsid w:val="00010822"/>
    <w:rsid w:val="00010C2A"/>
    <w:rsid w:val="000137E4"/>
    <w:rsid w:val="00014193"/>
    <w:rsid w:val="00014FF4"/>
    <w:rsid w:val="00017791"/>
    <w:rsid w:val="000331E6"/>
    <w:rsid w:val="000339F6"/>
    <w:rsid w:val="000422E9"/>
    <w:rsid w:val="0004421F"/>
    <w:rsid w:val="00045A17"/>
    <w:rsid w:val="000470EC"/>
    <w:rsid w:val="00052495"/>
    <w:rsid w:val="000542EF"/>
    <w:rsid w:val="000543EB"/>
    <w:rsid w:val="00054763"/>
    <w:rsid w:val="00061ACB"/>
    <w:rsid w:val="00062334"/>
    <w:rsid w:val="000658BA"/>
    <w:rsid w:val="0007172A"/>
    <w:rsid w:val="00073853"/>
    <w:rsid w:val="000738DF"/>
    <w:rsid w:val="00075B41"/>
    <w:rsid w:val="00076486"/>
    <w:rsid w:val="00080BFC"/>
    <w:rsid w:val="00082DB2"/>
    <w:rsid w:val="0008425B"/>
    <w:rsid w:val="00085A3A"/>
    <w:rsid w:val="00086A82"/>
    <w:rsid w:val="00092C39"/>
    <w:rsid w:val="00093CC4"/>
    <w:rsid w:val="000965D0"/>
    <w:rsid w:val="000A1BBA"/>
    <w:rsid w:val="000A6FBA"/>
    <w:rsid w:val="000B4629"/>
    <w:rsid w:val="000B6195"/>
    <w:rsid w:val="000C2309"/>
    <w:rsid w:val="000C2D66"/>
    <w:rsid w:val="000C3179"/>
    <w:rsid w:val="000C68B3"/>
    <w:rsid w:val="000D22FF"/>
    <w:rsid w:val="000D70E1"/>
    <w:rsid w:val="000E04C5"/>
    <w:rsid w:val="000E051D"/>
    <w:rsid w:val="000E6FA7"/>
    <w:rsid w:val="000F1306"/>
    <w:rsid w:val="000F27A2"/>
    <w:rsid w:val="000F2CA1"/>
    <w:rsid w:val="000F40C4"/>
    <w:rsid w:val="000F5666"/>
    <w:rsid w:val="00102C1A"/>
    <w:rsid w:val="00103B71"/>
    <w:rsid w:val="001070AC"/>
    <w:rsid w:val="00113479"/>
    <w:rsid w:val="00116192"/>
    <w:rsid w:val="00120F3A"/>
    <w:rsid w:val="00127D9C"/>
    <w:rsid w:val="00136273"/>
    <w:rsid w:val="00136A4A"/>
    <w:rsid w:val="00137086"/>
    <w:rsid w:val="001405A9"/>
    <w:rsid w:val="00141691"/>
    <w:rsid w:val="00141832"/>
    <w:rsid w:val="001418C0"/>
    <w:rsid w:val="00142DDE"/>
    <w:rsid w:val="001438AC"/>
    <w:rsid w:val="0014486E"/>
    <w:rsid w:val="00146904"/>
    <w:rsid w:val="00147FB3"/>
    <w:rsid w:val="0015039D"/>
    <w:rsid w:val="00154C32"/>
    <w:rsid w:val="00156231"/>
    <w:rsid w:val="0015674B"/>
    <w:rsid w:val="00160AAA"/>
    <w:rsid w:val="001675D0"/>
    <w:rsid w:val="0017062C"/>
    <w:rsid w:val="001712A8"/>
    <w:rsid w:val="0017267A"/>
    <w:rsid w:val="001733C5"/>
    <w:rsid w:val="00177051"/>
    <w:rsid w:val="00177C59"/>
    <w:rsid w:val="00181AA2"/>
    <w:rsid w:val="00193EE6"/>
    <w:rsid w:val="001A1C39"/>
    <w:rsid w:val="001A566C"/>
    <w:rsid w:val="001A5B77"/>
    <w:rsid w:val="001A7CD7"/>
    <w:rsid w:val="001A7EC4"/>
    <w:rsid w:val="001B5156"/>
    <w:rsid w:val="001B5855"/>
    <w:rsid w:val="001B7D66"/>
    <w:rsid w:val="001C0A6A"/>
    <w:rsid w:val="001C52F9"/>
    <w:rsid w:val="001D06F0"/>
    <w:rsid w:val="001D181E"/>
    <w:rsid w:val="001D3DCB"/>
    <w:rsid w:val="001D4E8A"/>
    <w:rsid w:val="001D507C"/>
    <w:rsid w:val="001D64AF"/>
    <w:rsid w:val="001E03E6"/>
    <w:rsid w:val="001E3EC9"/>
    <w:rsid w:val="001E670C"/>
    <w:rsid w:val="001E7DAF"/>
    <w:rsid w:val="001F338B"/>
    <w:rsid w:val="001F4C8D"/>
    <w:rsid w:val="001F5C4B"/>
    <w:rsid w:val="001F6ADF"/>
    <w:rsid w:val="002130D8"/>
    <w:rsid w:val="0021533B"/>
    <w:rsid w:val="00216E9E"/>
    <w:rsid w:val="0021757D"/>
    <w:rsid w:val="00225398"/>
    <w:rsid w:val="00226D12"/>
    <w:rsid w:val="00227F14"/>
    <w:rsid w:val="002304B6"/>
    <w:rsid w:val="002418D5"/>
    <w:rsid w:val="00243C4F"/>
    <w:rsid w:val="00251BF2"/>
    <w:rsid w:val="00254418"/>
    <w:rsid w:val="0025662A"/>
    <w:rsid w:val="00260C4C"/>
    <w:rsid w:val="00262CD4"/>
    <w:rsid w:val="0026353F"/>
    <w:rsid w:val="002722A2"/>
    <w:rsid w:val="0027298D"/>
    <w:rsid w:val="00275ADA"/>
    <w:rsid w:val="00280D5B"/>
    <w:rsid w:val="002829F9"/>
    <w:rsid w:val="00283139"/>
    <w:rsid w:val="00286A3D"/>
    <w:rsid w:val="00286EDB"/>
    <w:rsid w:val="00290A84"/>
    <w:rsid w:val="00294BAE"/>
    <w:rsid w:val="002977CC"/>
    <w:rsid w:val="002A264B"/>
    <w:rsid w:val="002A7256"/>
    <w:rsid w:val="002A7CDF"/>
    <w:rsid w:val="002B18F6"/>
    <w:rsid w:val="002B2E36"/>
    <w:rsid w:val="002C1771"/>
    <w:rsid w:val="002D2C39"/>
    <w:rsid w:val="002D4AEE"/>
    <w:rsid w:val="002D69FB"/>
    <w:rsid w:val="002D7CAE"/>
    <w:rsid w:val="002E0E7B"/>
    <w:rsid w:val="002E35FC"/>
    <w:rsid w:val="002F05C7"/>
    <w:rsid w:val="002F3C09"/>
    <w:rsid w:val="002F5513"/>
    <w:rsid w:val="002F626C"/>
    <w:rsid w:val="002F770F"/>
    <w:rsid w:val="00301031"/>
    <w:rsid w:val="00301C73"/>
    <w:rsid w:val="00301CB4"/>
    <w:rsid w:val="0030246A"/>
    <w:rsid w:val="00307540"/>
    <w:rsid w:val="003147AA"/>
    <w:rsid w:val="0032275A"/>
    <w:rsid w:val="00331FD6"/>
    <w:rsid w:val="003340C9"/>
    <w:rsid w:val="00335C04"/>
    <w:rsid w:val="0034119B"/>
    <w:rsid w:val="00342E08"/>
    <w:rsid w:val="003434C5"/>
    <w:rsid w:val="00344A38"/>
    <w:rsid w:val="00351AE8"/>
    <w:rsid w:val="003602A8"/>
    <w:rsid w:val="00361B2A"/>
    <w:rsid w:val="00362E9A"/>
    <w:rsid w:val="0036502B"/>
    <w:rsid w:val="00367A6E"/>
    <w:rsid w:val="00374292"/>
    <w:rsid w:val="00382ACB"/>
    <w:rsid w:val="003A5C21"/>
    <w:rsid w:val="003B591C"/>
    <w:rsid w:val="003C3FDF"/>
    <w:rsid w:val="003C5930"/>
    <w:rsid w:val="003C6B7B"/>
    <w:rsid w:val="003D140B"/>
    <w:rsid w:val="003D287F"/>
    <w:rsid w:val="003D306A"/>
    <w:rsid w:val="003D5127"/>
    <w:rsid w:val="003E0E2D"/>
    <w:rsid w:val="003E0FA2"/>
    <w:rsid w:val="003E3440"/>
    <w:rsid w:val="003F28D5"/>
    <w:rsid w:val="003F4F79"/>
    <w:rsid w:val="003F6079"/>
    <w:rsid w:val="004007CA"/>
    <w:rsid w:val="00401F9E"/>
    <w:rsid w:val="004027CF"/>
    <w:rsid w:val="00403230"/>
    <w:rsid w:val="00420D87"/>
    <w:rsid w:val="00423AFA"/>
    <w:rsid w:val="004242EB"/>
    <w:rsid w:val="004262D7"/>
    <w:rsid w:val="0042773D"/>
    <w:rsid w:val="00430148"/>
    <w:rsid w:val="004313A2"/>
    <w:rsid w:val="004330B3"/>
    <w:rsid w:val="00435A80"/>
    <w:rsid w:val="004409F5"/>
    <w:rsid w:val="00442157"/>
    <w:rsid w:val="00444033"/>
    <w:rsid w:val="00446423"/>
    <w:rsid w:val="0044737A"/>
    <w:rsid w:val="004508CD"/>
    <w:rsid w:val="00452C96"/>
    <w:rsid w:val="0045465E"/>
    <w:rsid w:val="00460337"/>
    <w:rsid w:val="00460A08"/>
    <w:rsid w:val="0046138C"/>
    <w:rsid w:val="00461D2D"/>
    <w:rsid w:val="00474EE5"/>
    <w:rsid w:val="00480EC6"/>
    <w:rsid w:val="00483A16"/>
    <w:rsid w:val="004913E8"/>
    <w:rsid w:val="00491AF0"/>
    <w:rsid w:val="00491C69"/>
    <w:rsid w:val="00492DBC"/>
    <w:rsid w:val="00496A4E"/>
    <w:rsid w:val="004A045E"/>
    <w:rsid w:val="004A085B"/>
    <w:rsid w:val="004A4D80"/>
    <w:rsid w:val="004A5AFF"/>
    <w:rsid w:val="004A6C40"/>
    <w:rsid w:val="004B0CEB"/>
    <w:rsid w:val="004B2651"/>
    <w:rsid w:val="004B599A"/>
    <w:rsid w:val="004B69E1"/>
    <w:rsid w:val="004C1C27"/>
    <w:rsid w:val="004C20E1"/>
    <w:rsid w:val="004C4FDC"/>
    <w:rsid w:val="004C540D"/>
    <w:rsid w:val="004D2535"/>
    <w:rsid w:val="004D25F3"/>
    <w:rsid w:val="004D3B14"/>
    <w:rsid w:val="004D3B4A"/>
    <w:rsid w:val="004D5AEE"/>
    <w:rsid w:val="004D67B7"/>
    <w:rsid w:val="004D76CF"/>
    <w:rsid w:val="004E0BAA"/>
    <w:rsid w:val="004E1733"/>
    <w:rsid w:val="004E3861"/>
    <w:rsid w:val="004E493F"/>
    <w:rsid w:val="0050061B"/>
    <w:rsid w:val="00506E0F"/>
    <w:rsid w:val="00507B8B"/>
    <w:rsid w:val="005131C0"/>
    <w:rsid w:val="005138B1"/>
    <w:rsid w:val="00515879"/>
    <w:rsid w:val="00535C3F"/>
    <w:rsid w:val="00541789"/>
    <w:rsid w:val="00542006"/>
    <w:rsid w:val="0054259E"/>
    <w:rsid w:val="00545B77"/>
    <w:rsid w:val="00545F01"/>
    <w:rsid w:val="00546BD3"/>
    <w:rsid w:val="0054786F"/>
    <w:rsid w:val="00553AFB"/>
    <w:rsid w:val="00556325"/>
    <w:rsid w:val="00564B72"/>
    <w:rsid w:val="0057480F"/>
    <w:rsid w:val="00577BFD"/>
    <w:rsid w:val="0058479C"/>
    <w:rsid w:val="00592B74"/>
    <w:rsid w:val="00595B69"/>
    <w:rsid w:val="00596215"/>
    <w:rsid w:val="005A38F9"/>
    <w:rsid w:val="005A735E"/>
    <w:rsid w:val="005A76F0"/>
    <w:rsid w:val="005A7FDD"/>
    <w:rsid w:val="005B316E"/>
    <w:rsid w:val="005B4970"/>
    <w:rsid w:val="005B508D"/>
    <w:rsid w:val="005C014A"/>
    <w:rsid w:val="005C50FC"/>
    <w:rsid w:val="005C6657"/>
    <w:rsid w:val="005C7EF8"/>
    <w:rsid w:val="005D25E4"/>
    <w:rsid w:val="005D2A89"/>
    <w:rsid w:val="005D4842"/>
    <w:rsid w:val="005D614C"/>
    <w:rsid w:val="005D73CD"/>
    <w:rsid w:val="005E09B4"/>
    <w:rsid w:val="005E6626"/>
    <w:rsid w:val="005E7ED3"/>
    <w:rsid w:val="005F17D0"/>
    <w:rsid w:val="005F2BC8"/>
    <w:rsid w:val="005F5D4F"/>
    <w:rsid w:val="005F6E8B"/>
    <w:rsid w:val="005F7FDE"/>
    <w:rsid w:val="0060236A"/>
    <w:rsid w:val="00603EFB"/>
    <w:rsid w:val="006069D3"/>
    <w:rsid w:val="00621CC0"/>
    <w:rsid w:val="00626A76"/>
    <w:rsid w:val="00627B6C"/>
    <w:rsid w:val="00630386"/>
    <w:rsid w:val="006327C3"/>
    <w:rsid w:val="006339DC"/>
    <w:rsid w:val="00640B7C"/>
    <w:rsid w:val="00641554"/>
    <w:rsid w:val="00641A25"/>
    <w:rsid w:val="00641EB0"/>
    <w:rsid w:val="0064520D"/>
    <w:rsid w:val="006510AA"/>
    <w:rsid w:val="00651689"/>
    <w:rsid w:val="006575EA"/>
    <w:rsid w:val="00662C03"/>
    <w:rsid w:val="00662C25"/>
    <w:rsid w:val="0066618F"/>
    <w:rsid w:val="0066739D"/>
    <w:rsid w:val="00671BB4"/>
    <w:rsid w:val="00673481"/>
    <w:rsid w:val="006750FE"/>
    <w:rsid w:val="0068537D"/>
    <w:rsid w:val="00694931"/>
    <w:rsid w:val="00697F7C"/>
    <w:rsid w:val="006A3C75"/>
    <w:rsid w:val="006A737C"/>
    <w:rsid w:val="006C27AA"/>
    <w:rsid w:val="006C2FAC"/>
    <w:rsid w:val="006C3C80"/>
    <w:rsid w:val="006D36EA"/>
    <w:rsid w:val="006D3D0B"/>
    <w:rsid w:val="006D7585"/>
    <w:rsid w:val="006E554A"/>
    <w:rsid w:val="006E6284"/>
    <w:rsid w:val="006F1FC5"/>
    <w:rsid w:val="006F28DA"/>
    <w:rsid w:val="006F5F8E"/>
    <w:rsid w:val="00701F03"/>
    <w:rsid w:val="00703344"/>
    <w:rsid w:val="00713C45"/>
    <w:rsid w:val="00714597"/>
    <w:rsid w:val="00720702"/>
    <w:rsid w:val="0072695D"/>
    <w:rsid w:val="00726991"/>
    <w:rsid w:val="00727DD4"/>
    <w:rsid w:val="00741092"/>
    <w:rsid w:val="00742680"/>
    <w:rsid w:val="00746C9E"/>
    <w:rsid w:val="00750259"/>
    <w:rsid w:val="007508D8"/>
    <w:rsid w:val="0075139D"/>
    <w:rsid w:val="00754049"/>
    <w:rsid w:val="00763691"/>
    <w:rsid w:val="007658EA"/>
    <w:rsid w:val="00765DD9"/>
    <w:rsid w:val="0077399F"/>
    <w:rsid w:val="007752E5"/>
    <w:rsid w:val="00777324"/>
    <w:rsid w:val="0078754C"/>
    <w:rsid w:val="007902B7"/>
    <w:rsid w:val="0079191F"/>
    <w:rsid w:val="007A005F"/>
    <w:rsid w:val="007A1781"/>
    <w:rsid w:val="007A491D"/>
    <w:rsid w:val="007B2031"/>
    <w:rsid w:val="007B2E7A"/>
    <w:rsid w:val="007B314C"/>
    <w:rsid w:val="007B3A69"/>
    <w:rsid w:val="007C309C"/>
    <w:rsid w:val="007C3B50"/>
    <w:rsid w:val="007C50B5"/>
    <w:rsid w:val="007D3E38"/>
    <w:rsid w:val="007D6502"/>
    <w:rsid w:val="007D659E"/>
    <w:rsid w:val="007E47FA"/>
    <w:rsid w:val="007E4E9F"/>
    <w:rsid w:val="007F4606"/>
    <w:rsid w:val="007F46F4"/>
    <w:rsid w:val="007F6B20"/>
    <w:rsid w:val="0080548E"/>
    <w:rsid w:val="00805E5A"/>
    <w:rsid w:val="00806EE2"/>
    <w:rsid w:val="00815894"/>
    <w:rsid w:val="00815A32"/>
    <w:rsid w:val="008323FB"/>
    <w:rsid w:val="00832A9B"/>
    <w:rsid w:val="008339A2"/>
    <w:rsid w:val="0083467A"/>
    <w:rsid w:val="008500D0"/>
    <w:rsid w:val="008543BA"/>
    <w:rsid w:val="00857559"/>
    <w:rsid w:val="00861749"/>
    <w:rsid w:val="008648B4"/>
    <w:rsid w:val="00864CBA"/>
    <w:rsid w:val="00865A73"/>
    <w:rsid w:val="008669C1"/>
    <w:rsid w:val="00874443"/>
    <w:rsid w:val="00887683"/>
    <w:rsid w:val="00887821"/>
    <w:rsid w:val="00887C84"/>
    <w:rsid w:val="008958A5"/>
    <w:rsid w:val="0089652C"/>
    <w:rsid w:val="008A2D79"/>
    <w:rsid w:val="008A6D28"/>
    <w:rsid w:val="008B1B50"/>
    <w:rsid w:val="008B1D3B"/>
    <w:rsid w:val="008B206F"/>
    <w:rsid w:val="008B6694"/>
    <w:rsid w:val="008D0944"/>
    <w:rsid w:val="008D2F11"/>
    <w:rsid w:val="008D7145"/>
    <w:rsid w:val="008E04AE"/>
    <w:rsid w:val="008E56EC"/>
    <w:rsid w:val="008E68A4"/>
    <w:rsid w:val="008F0030"/>
    <w:rsid w:val="008F2EBC"/>
    <w:rsid w:val="00900696"/>
    <w:rsid w:val="0090078A"/>
    <w:rsid w:val="00901CF7"/>
    <w:rsid w:val="009020D6"/>
    <w:rsid w:val="00904562"/>
    <w:rsid w:val="009226CD"/>
    <w:rsid w:val="00922CED"/>
    <w:rsid w:val="00934D2B"/>
    <w:rsid w:val="00936126"/>
    <w:rsid w:val="00937616"/>
    <w:rsid w:val="00940B1D"/>
    <w:rsid w:val="009441EB"/>
    <w:rsid w:val="009458E0"/>
    <w:rsid w:val="00947628"/>
    <w:rsid w:val="0095003F"/>
    <w:rsid w:val="00954399"/>
    <w:rsid w:val="0095652C"/>
    <w:rsid w:val="009738C3"/>
    <w:rsid w:val="009743BF"/>
    <w:rsid w:val="00975499"/>
    <w:rsid w:val="0098136C"/>
    <w:rsid w:val="0098537D"/>
    <w:rsid w:val="00985C3F"/>
    <w:rsid w:val="00985D23"/>
    <w:rsid w:val="0098647C"/>
    <w:rsid w:val="00991C72"/>
    <w:rsid w:val="00996D7C"/>
    <w:rsid w:val="009A69A7"/>
    <w:rsid w:val="009A76AE"/>
    <w:rsid w:val="009B60B7"/>
    <w:rsid w:val="009B7785"/>
    <w:rsid w:val="009D02E9"/>
    <w:rsid w:val="009D0700"/>
    <w:rsid w:val="009D2ECF"/>
    <w:rsid w:val="009D6184"/>
    <w:rsid w:val="009E16EA"/>
    <w:rsid w:val="009E4796"/>
    <w:rsid w:val="009E65D7"/>
    <w:rsid w:val="009F50D0"/>
    <w:rsid w:val="009F614A"/>
    <w:rsid w:val="009F6927"/>
    <w:rsid w:val="009F6E38"/>
    <w:rsid w:val="00A01B4A"/>
    <w:rsid w:val="00A02942"/>
    <w:rsid w:val="00A05FBA"/>
    <w:rsid w:val="00A07873"/>
    <w:rsid w:val="00A13E99"/>
    <w:rsid w:val="00A2012A"/>
    <w:rsid w:val="00A25722"/>
    <w:rsid w:val="00A26359"/>
    <w:rsid w:val="00A31DFF"/>
    <w:rsid w:val="00A32A86"/>
    <w:rsid w:val="00A42674"/>
    <w:rsid w:val="00A5618F"/>
    <w:rsid w:val="00A639F4"/>
    <w:rsid w:val="00A70B8E"/>
    <w:rsid w:val="00A7144F"/>
    <w:rsid w:val="00A72805"/>
    <w:rsid w:val="00A73577"/>
    <w:rsid w:val="00A8108C"/>
    <w:rsid w:val="00A9048F"/>
    <w:rsid w:val="00A904E0"/>
    <w:rsid w:val="00A90EB3"/>
    <w:rsid w:val="00A947C7"/>
    <w:rsid w:val="00A95312"/>
    <w:rsid w:val="00AB3FDB"/>
    <w:rsid w:val="00AB43B7"/>
    <w:rsid w:val="00AB572C"/>
    <w:rsid w:val="00AB6B04"/>
    <w:rsid w:val="00AC12B2"/>
    <w:rsid w:val="00AC5B1C"/>
    <w:rsid w:val="00AD4FCA"/>
    <w:rsid w:val="00AD6758"/>
    <w:rsid w:val="00AE4B65"/>
    <w:rsid w:val="00B0284D"/>
    <w:rsid w:val="00B03577"/>
    <w:rsid w:val="00B0368E"/>
    <w:rsid w:val="00B12204"/>
    <w:rsid w:val="00B12629"/>
    <w:rsid w:val="00B146E6"/>
    <w:rsid w:val="00B221F6"/>
    <w:rsid w:val="00B2686B"/>
    <w:rsid w:val="00B30430"/>
    <w:rsid w:val="00B345EE"/>
    <w:rsid w:val="00B446B5"/>
    <w:rsid w:val="00B46332"/>
    <w:rsid w:val="00B46AED"/>
    <w:rsid w:val="00B55A09"/>
    <w:rsid w:val="00B564FF"/>
    <w:rsid w:val="00B6076C"/>
    <w:rsid w:val="00B67573"/>
    <w:rsid w:val="00B719E0"/>
    <w:rsid w:val="00B71C86"/>
    <w:rsid w:val="00B73DAE"/>
    <w:rsid w:val="00B7570D"/>
    <w:rsid w:val="00B765D9"/>
    <w:rsid w:val="00B77494"/>
    <w:rsid w:val="00B80383"/>
    <w:rsid w:val="00B825EB"/>
    <w:rsid w:val="00B84860"/>
    <w:rsid w:val="00B85440"/>
    <w:rsid w:val="00B90BA1"/>
    <w:rsid w:val="00B96BFB"/>
    <w:rsid w:val="00BA11AF"/>
    <w:rsid w:val="00BA3FB7"/>
    <w:rsid w:val="00BA7EC5"/>
    <w:rsid w:val="00BB218F"/>
    <w:rsid w:val="00BB2336"/>
    <w:rsid w:val="00BC09C5"/>
    <w:rsid w:val="00BC631F"/>
    <w:rsid w:val="00BC64AD"/>
    <w:rsid w:val="00BD2BF9"/>
    <w:rsid w:val="00BE075E"/>
    <w:rsid w:val="00BE1B47"/>
    <w:rsid w:val="00BE2E3F"/>
    <w:rsid w:val="00BF547D"/>
    <w:rsid w:val="00BF5CA9"/>
    <w:rsid w:val="00C0257D"/>
    <w:rsid w:val="00C02C96"/>
    <w:rsid w:val="00C03840"/>
    <w:rsid w:val="00C03B46"/>
    <w:rsid w:val="00C12F2A"/>
    <w:rsid w:val="00C13216"/>
    <w:rsid w:val="00C15D40"/>
    <w:rsid w:val="00C16B00"/>
    <w:rsid w:val="00C22B63"/>
    <w:rsid w:val="00C22C68"/>
    <w:rsid w:val="00C235CB"/>
    <w:rsid w:val="00C24B6B"/>
    <w:rsid w:val="00C337A6"/>
    <w:rsid w:val="00C41D35"/>
    <w:rsid w:val="00C4340F"/>
    <w:rsid w:val="00C44120"/>
    <w:rsid w:val="00C459DC"/>
    <w:rsid w:val="00C460D7"/>
    <w:rsid w:val="00C520AC"/>
    <w:rsid w:val="00C56840"/>
    <w:rsid w:val="00C575CA"/>
    <w:rsid w:val="00C62C16"/>
    <w:rsid w:val="00C672BA"/>
    <w:rsid w:val="00C712A3"/>
    <w:rsid w:val="00C730D3"/>
    <w:rsid w:val="00C76D6A"/>
    <w:rsid w:val="00C83FF3"/>
    <w:rsid w:val="00C94FB8"/>
    <w:rsid w:val="00CA0147"/>
    <w:rsid w:val="00CA1CFF"/>
    <w:rsid w:val="00CA441D"/>
    <w:rsid w:val="00CB0CD3"/>
    <w:rsid w:val="00CB211F"/>
    <w:rsid w:val="00CB3140"/>
    <w:rsid w:val="00CC153E"/>
    <w:rsid w:val="00CC1CA2"/>
    <w:rsid w:val="00CC3798"/>
    <w:rsid w:val="00CC7AEA"/>
    <w:rsid w:val="00CD3A8A"/>
    <w:rsid w:val="00CD4F6B"/>
    <w:rsid w:val="00CD6244"/>
    <w:rsid w:val="00CE612B"/>
    <w:rsid w:val="00CF0E7B"/>
    <w:rsid w:val="00CF2329"/>
    <w:rsid w:val="00CF2FC7"/>
    <w:rsid w:val="00CF4E80"/>
    <w:rsid w:val="00CF7C4C"/>
    <w:rsid w:val="00D02B99"/>
    <w:rsid w:val="00D04670"/>
    <w:rsid w:val="00D04D91"/>
    <w:rsid w:val="00D13772"/>
    <w:rsid w:val="00D21626"/>
    <w:rsid w:val="00D22773"/>
    <w:rsid w:val="00D24870"/>
    <w:rsid w:val="00D34932"/>
    <w:rsid w:val="00D35F72"/>
    <w:rsid w:val="00D422DB"/>
    <w:rsid w:val="00D4302D"/>
    <w:rsid w:val="00D4583E"/>
    <w:rsid w:val="00D4614E"/>
    <w:rsid w:val="00D46E6E"/>
    <w:rsid w:val="00D529F9"/>
    <w:rsid w:val="00D54563"/>
    <w:rsid w:val="00D551EB"/>
    <w:rsid w:val="00D5565C"/>
    <w:rsid w:val="00D67432"/>
    <w:rsid w:val="00D70575"/>
    <w:rsid w:val="00D72087"/>
    <w:rsid w:val="00D75116"/>
    <w:rsid w:val="00D75C9B"/>
    <w:rsid w:val="00D90AF1"/>
    <w:rsid w:val="00D91BEC"/>
    <w:rsid w:val="00D933FB"/>
    <w:rsid w:val="00D94D06"/>
    <w:rsid w:val="00D96466"/>
    <w:rsid w:val="00D96E87"/>
    <w:rsid w:val="00DA27F3"/>
    <w:rsid w:val="00DA2806"/>
    <w:rsid w:val="00DB1FDB"/>
    <w:rsid w:val="00DB3487"/>
    <w:rsid w:val="00DB4BB7"/>
    <w:rsid w:val="00DC2A64"/>
    <w:rsid w:val="00DC68C3"/>
    <w:rsid w:val="00DC7F2B"/>
    <w:rsid w:val="00DD23C0"/>
    <w:rsid w:val="00DE16DE"/>
    <w:rsid w:val="00DE1D1A"/>
    <w:rsid w:val="00DE358C"/>
    <w:rsid w:val="00DE5898"/>
    <w:rsid w:val="00DE6683"/>
    <w:rsid w:val="00DE7185"/>
    <w:rsid w:val="00E1390D"/>
    <w:rsid w:val="00E1728C"/>
    <w:rsid w:val="00E231BA"/>
    <w:rsid w:val="00E25DEA"/>
    <w:rsid w:val="00E2794A"/>
    <w:rsid w:val="00E34DCA"/>
    <w:rsid w:val="00E34E5E"/>
    <w:rsid w:val="00E3652A"/>
    <w:rsid w:val="00E369D0"/>
    <w:rsid w:val="00E3743A"/>
    <w:rsid w:val="00E45943"/>
    <w:rsid w:val="00E56466"/>
    <w:rsid w:val="00E5726F"/>
    <w:rsid w:val="00E626B1"/>
    <w:rsid w:val="00E627BF"/>
    <w:rsid w:val="00E70730"/>
    <w:rsid w:val="00E72C65"/>
    <w:rsid w:val="00E77BCF"/>
    <w:rsid w:val="00E80605"/>
    <w:rsid w:val="00E9297E"/>
    <w:rsid w:val="00E95128"/>
    <w:rsid w:val="00E967E6"/>
    <w:rsid w:val="00EA7B8D"/>
    <w:rsid w:val="00EB0931"/>
    <w:rsid w:val="00EB1BB0"/>
    <w:rsid w:val="00EB4A49"/>
    <w:rsid w:val="00EC0820"/>
    <w:rsid w:val="00EC44AA"/>
    <w:rsid w:val="00EC57CF"/>
    <w:rsid w:val="00ED005D"/>
    <w:rsid w:val="00ED1CF5"/>
    <w:rsid w:val="00ED1E98"/>
    <w:rsid w:val="00ED5F95"/>
    <w:rsid w:val="00ED67D4"/>
    <w:rsid w:val="00EE0E21"/>
    <w:rsid w:val="00EE3024"/>
    <w:rsid w:val="00EF0B01"/>
    <w:rsid w:val="00EF158E"/>
    <w:rsid w:val="00EF34AE"/>
    <w:rsid w:val="00EF4E72"/>
    <w:rsid w:val="00EF688C"/>
    <w:rsid w:val="00F0029B"/>
    <w:rsid w:val="00F02AA7"/>
    <w:rsid w:val="00F04366"/>
    <w:rsid w:val="00F10E0E"/>
    <w:rsid w:val="00F150F1"/>
    <w:rsid w:val="00F16F26"/>
    <w:rsid w:val="00F20205"/>
    <w:rsid w:val="00F20C4D"/>
    <w:rsid w:val="00F22792"/>
    <w:rsid w:val="00F27004"/>
    <w:rsid w:val="00F31A00"/>
    <w:rsid w:val="00F37124"/>
    <w:rsid w:val="00F4385F"/>
    <w:rsid w:val="00F501FB"/>
    <w:rsid w:val="00F5250D"/>
    <w:rsid w:val="00F54864"/>
    <w:rsid w:val="00F60F5B"/>
    <w:rsid w:val="00F6239B"/>
    <w:rsid w:val="00F648E1"/>
    <w:rsid w:val="00F66EE1"/>
    <w:rsid w:val="00F709E2"/>
    <w:rsid w:val="00F70C00"/>
    <w:rsid w:val="00F71552"/>
    <w:rsid w:val="00F71797"/>
    <w:rsid w:val="00F74799"/>
    <w:rsid w:val="00F75DF5"/>
    <w:rsid w:val="00F77EF7"/>
    <w:rsid w:val="00F802C8"/>
    <w:rsid w:val="00F838BE"/>
    <w:rsid w:val="00F83A95"/>
    <w:rsid w:val="00F865E8"/>
    <w:rsid w:val="00F87576"/>
    <w:rsid w:val="00F91913"/>
    <w:rsid w:val="00F9359C"/>
    <w:rsid w:val="00F9506A"/>
    <w:rsid w:val="00F970DC"/>
    <w:rsid w:val="00FA1EF8"/>
    <w:rsid w:val="00FA2A9D"/>
    <w:rsid w:val="00FA6ADD"/>
    <w:rsid w:val="00FA6C5D"/>
    <w:rsid w:val="00FA6D0F"/>
    <w:rsid w:val="00FB12EB"/>
    <w:rsid w:val="00FB5259"/>
    <w:rsid w:val="00FC0A59"/>
    <w:rsid w:val="00FD44E7"/>
    <w:rsid w:val="00FD4736"/>
    <w:rsid w:val="00FD5586"/>
    <w:rsid w:val="00FE0172"/>
    <w:rsid w:val="00FE2CC6"/>
    <w:rsid w:val="00FE3AB4"/>
    <w:rsid w:val="00FF3376"/>
    <w:rsid w:val="00FF7320"/>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95128"/>
    <w:rPr>
      <w:rFonts w:ascii="Times New Roman" w:eastAsia="Times New Roman" w:hAnsi="Times New Roman"/>
      <w:lang w:eastAsia="en-US"/>
    </w:rPr>
  </w:style>
  <w:style w:type="paragraph" w:styleId="Nadpis1">
    <w:name w:val="heading 1"/>
    <w:basedOn w:val="Normlny"/>
    <w:next w:val="Normlny"/>
    <w:link w:val="Nadpis1Char"/>
    <w:qFormat/>
    <w:rsid w:val="00E95128"/>
    <w:pPr>
      <w:keepNext/>
      <w:numPr>
        <w:numId w:val="1"/>
      </w:numPr>
      <w:outlineLvl w:val="0"/>
    </w:pPr>
    <w:rPr>
      <w:b/>
      <w:caps/>
      <w:sz w:val="18"/>
    </w:rPr>
  </w:style>
  <w:style w:type="paragraph" w:styleId="Nadpis2">
    <w:name w:val="heading 2"/>
    <w:basedOn w:val="Normlny"/>
    <w:next w:val="Normlny"/>
    <w:link w:val="Nadpis2Char"/>
    <w:qFormat/>
    <w:rsid w:val="00E95128"/>
    <w:pPr>
      <w:keepNext/>
      <w:numPr>
        <w:numId w:val="13"/>
      </w:numPr>
      <w:outlineLvl w:val="1"/>
    </w:pPr>
    <w:rPr>
      <w:b/>
      <w:sz w:val="18"/>
    </w:rPr>
  </w:style>
  <w:style w:type="paragraph" w:styleId="Nadpis6">
    <w:name w:val="heading 6"/>
    <w:basedOn w:val="Normlny"/>
    <w:next w:val="Normlny"/>
    <w:link w:val="Nadpis6Char"/>
    <w:qFormat/>
    <w:rsid w:val="00E95128"/>
    <w:pPr>
      <w:keepNext/>
      <w:outlineLvl w:val="5"/>
    </w:pPr>
    <w:rPr>
      <w:b/>
      <w:caps/>
      <w:sz w:val="32"/>
    </w:rPr>
  </w:style>
  <w:style w:type="paragraph" w:styleId="Nadpis9">
    <w:name w:val="heading 9"/>
    <w:basedOn w:val="Normlny"/>
    <w:next w:val="Normlny"/>
    <w:link w:val="Nadpis9Char"/>
    <w:uiPriority w:val="9"/>
    <w:semiHidden/>
    <w:unhideWhenUsed/>
    <w:qFormat/>
    <w:rsid w:val="003E0FA2"/>
    <w:pPr>
      <w:keepNext/>
      <w:keepLines/>
      <w:spacing w:before="200"/>
      <w:outlineLvl w:val="8"/>
    </w:pPr>
    <w:rPr>
      <w:rFonts w:ascii="Cambria" w:hAnsi="Cambria"/>
      <w:i/>
      <w:iCs/>
      <w:color w:val="4040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95128"/>
    <w:pPr>
      <w:tabs>
        <w:tab w:val="center" w:pos="4536"/>
        <w:tab w:val="right" w:pos="9072"/>
      </w:tabs>
    </w:pPr>
  </w:style>
  <w:style w:type="character" w:customStyle="1" w:styleId="HlavikaChar">
    <w:name w:val="Hlavička Char"/>
    <w:basedOn w:val="Predvolenpsmoodseku"/>
    <w:link w:val="Hlavika"/>
    <w:semiHidden/>
    <w:rsid w:val="00E95128"/>
  </w:style>
  <w:style w:type="paragraph" w:styleId="Pta">
    <w:name w:val="footer"/>
    <w:basedOn w:val="Normlny"/>
    <w:link w:val="PtaChar"/>
    <w:uiPriority w:val="99"/>
    <w:unhideWhenUsed/>
    <w:rsid w:val="00E95128"/>
    <w:pPr>
      <w:tabs>
        <w:tab w:val="center" w:pos="4536"/>
        <w:tab w:val="right" w:pos="9072"/>
      </w:tabs>
    </w:pPr>
  </w:style>
  <w:style w:type="character" w:customStyle="1" w:styleId="PtaChar">
    <w:name w:val="Päta Char"/>
    <w:basedOn w:val="Predvolenpsmoodseku"/>
    <w:link w:val="Pta"/>
    <w:uiPriority w:val="99"/>
    <w:rsid w:val="00E95128"/>
  </w:style>
  <w:style w:type="character" w:styleId="slostrany">
    <w:name w:val="page number"/>
    <w:basedOn w:val="Predvolenpsmoodseku"/>
    <w:rsid w:val="00E95128"/>
    <w:rPr>
      <w:rFonts w:cs="Times New Roman"/>
    </w:rPr>
  </w:style>
  <w:style w:type="character" w:customStyle="1" w:styleId="Nadpis1Char">
    <w:name w:val="Nadpis 1 Char"/>
    <w:basedOn w:val="Predvolenpsmoodseku"/>
    <w:link w:val="Nadpis1"/>
    <w:rsid w:val="00E95128"/>
    <w:rPr>
      <w:rFonts w:ascii="Times New Roman" w:eastAsia="Times New Roman" w:hAnsi="Times New Roman" w:cs="Times New Roman"/>
      <w:b/>
      <w:caps/>
      <w:sz w:val="18"/>
      <w:szCs w:val="20"/>
    </w:rPr>
  </w:style>
  <w:style w:type="character" w:customStyle="1" w:styleId="Nadpis2Char">
    <w:name w:val="Nadpis 2 Char"/>
    <w:basedOn w:val="Predvolenpsmoodseku"/>
    <w:link w:val="Nadpis2"/>
    <w:rsid w:val="00E95128"/>
    <w:rPr>
      <w:rFonts w:ascii="Times New Roman" w:eastAsia="Times New Roman" w:hAnsi="Times New Roman" w:cs="Times New Roman"/>
      <w:b/>
      <w:sz w:val="18"/>
      <w:szCs w:val="20"/>
    </w:rPr>
  </w:style>
  <w:style w:type="character" w:customStyle="1" w:styleId="Nadpis6Char">
    <w:name w:val="Nadpis 6 Char"/>
    <w:basedOn w:val="Predvolenpsmoodseku"/>
    <w:link w:val="Nadpis6"/>
    <w:rsid w:val="00E95128"/>
    <w:rPr>
      <w:rFonts w:ascii="Times New Roman" w:eastAsia="Times New Roman" w:hAnsi="Times New Roman" w:cs="Times New Roman"/>
      <w:b/>
      <w:caps/>
      <w:sz w:val="32"/>
      <w:szCs w:val="20"/>
    </w:rPr>
  </w:style>
  <w:style w:type="paragraph" w:styleId="Zkladntext">
    <w:name w:val="Body Text"/>
    <w:basedOn w:val="Normlny"/>
    <w:link w:val="ZkladntextChar"/>
    <w:rsid w:val="00E95128"/>
    <w:pPr>
      <w:ind w:left="426"/>
      <w:jc w:val="both"/>
    </w:pPr>
    <w:rPr>
      <w:sz w:val="18"/>
    </w:rPr>
  </w:style>
  <w:style w:type="character" w:customStyle="1" w:styleId="ZkladntextChar">
    <w:name w:val="Základný text Char"/>
    <w:basedOn w:val="Predvolenpsmoodseku"/>
    <w:link w:val="Zkladntext"/>
    <w:rsid w:val="00E95128"/>
    <w:rPr>
      <w:rFonts w:ascii="Times New Roman" w:eastAsia="Times New Roman" w:hAnsi="Times New Roman" w:cs="Times New Roman"/>
      <w:sz w:val="18"/>
      <w:szCs w:val="20"/>
    </w:rPr>
  </w:style>
  <w:style w:type="paragraph" w:customStyle="1" w:styleId="Uvod">
    <w:name w:val="Uvod"/>
    <w:basedOn w:val="Normlny"/>
    <w:rsid w:val="00E95128"/>
    <w:pPr>
      <w:ind w:left="284" w:hanging="284"/>
      <w:jc w:val="both"/>
    </w:pPr>
    <w:rPr>
      <w:sz w:val="22"/>
    </w:rPr>
  </w:style>
  <w:style w:type="character" w:styleId="Odkaznapoznmkupodiarou">
    <w:name w:val="footnote reference"/>
    <w:basedOn w:val="Predvolenpsmoodseku"/>
    <w:semiHidden/>
    <w:rsid w:val="00E95128"/>
    <w:rPr>
      <w:rFonts w:cs="Times New Roman"/>
      <w:position w:val="6"/>
      <w:sz w:val="16"/>
      <w:szCs w:val="16"/>
    </w:rPr>
  </w:style>
  <w:style w:type="paragraph" w:customStyle="1" w:styleId="lita">
    <w:name w:val="lit_a"/>
    <w:basedOn w:val="Normlny"/>
    <w:rsid w:val="00E95128"/>
    <w:pPr>
      <w:spacing w:after="20"/>
      <w:ind w:left="624" w:hanging="340"/>
      <w:jc w:val="both"/>
    </w:pPr>
    <w:rPr>
      <w:rFonts w:ascii="Times" w:hAnsi="Times"/>
      <w:lang w:val="en-US"/>
    </w:rPr>
  </w:style>
  <w:style w:type="paragraph" w:customStyle="1" w:styleId="zif">
    <w:name w:val="zif"/>
    <w:basedOn w:val="Normlny"/>
    <w:link w:val="zifChar"/>
    <w:rsid w:val="00E95128"/>
    <w:pPr>
      <w:tabs>
        <w:tab w:val="left" w:pos="620"/>
      </w:tabs>
      <w:spacing w:after="80"/>
      <w:jc w:val="both"/>
    </w:pPr>
    <w:rPr>
      <w:rFonts w:ascii="Times" w:hAnsi="Times"/>
      <w:lang w:val="en-US"/>
    </w:rPr>
  </w:style>
  <w:style w:type="character" w:customStyle="1" w:styleId="zifChar">
    <w:name w:val="zif Char"/>
    <w:basedOn w:val="Predvolenpsmoodseku"/>
    <w:link w:val="zif"/>
    <w:locked/>
    <w:rsid w:val="00E95128"/>
    <w:rPr>
      <w:rFonts w:ascii="Times" w:eastAsia="Times New Roman" w:hAnsi="Times" w:cs="Times New Roman"/>
      <w:sz w:val="20"/>
      <w:szCs w:val="20"/>
      <w:lang w:val="en-US"/>
    </w:rPr>
  </w:style>
  <w:style w:type="paragraph" w:styleId="Odsekzoznamu">
    <w:name w:val="List Paragraph"/>
    <w:basedOn w:val="Normlny"/>
    <w:qFormat/>
    <w:rsid w:val="00E95128"/>
    <w:pPr>
      <w:ind w:left="708"/>
    </w:pPr>
  </w:style>
  <w:style w:type="paragraph" w:customStyle="1" w:styleId="Tabulka">
    <w:name w:val="Tabulka"/>
    <w:basedOn w:val="Normlny"/>
    <w:rsid w:val="00160AAA"/>
    <w:rPr>
      <w:color w:val="000000"/>
      <w:sz w:val="18"/>
    </w:rPr>
  </w:style>
  <w:style w:type="paragraph" w:customStyle="1" w:styleId="Pismenka">
    <w:name w:val="Pismenka"/>
    <w:basedOn w:val="Zkladntext"/>
    <w:rsid w:val="00160AAA"/>
    <w:pPr>
      <w:numPr>
        <w:numId w:val="7"/>
      </w:numPr>
      <w:tabs>
        <w:tab w:val="clear" w:pos="360"/>
        <w:tab w:val="num" w:pos="426"/>
      </w:tabs>
      <w:ind w:hanging="426"/>
    </w:pPr>
    <w:rPr>
      <w:b/>
    </w:rPr>
  </w:style>
  <w:style w:type="character" w:customStyle="1" w:styleId="Nadpis9Char">
    <w:name w:val="Nadpis 9 Char"/>
    <w:basedOn w:val="Predvolenpsmoodseku"/>
    <w:link w:val="Nadpis9"/>
    <w:semiHidden/>
    <w:rsid w:val="003E0FA2"/>
    <w:rPr>
      <w:rFonts w:ascii="Cambria" w:eastAsia="Times New Roman" w:hAnsi="Cambria" w:cs="Times New Roman"/>
      <w:i/>
      <w:iCs/>
      <w:color w:val="404040"/>
      <w:sz w:val="20"/>
      <w:szCs w:val="20"/>
    </w:rPr>
  </w:style>
  <w:style w:type="paragraph" w:styleId="Textbubliny">
    <w:name w:val="Balloon Text"/>
    <w:basedOn w:val="Normlny"/>
    <w:link w:val="TextbublinyChar"/>
    <w:uiPriority w:val="99"/>
    <w:semiHidden/>
    <w:unhideWhenUsed/>
    <w:rsid w:val="004B69E1"/>
    <w:rPr>
      <w:rFonts w:ascii="Tahoma" w:hAnsi="Tahoma" w:cs="Tahoma"/>
      <w:sz w:val="16"/>
      <w:szCs w:val="16"/>
    </w:rPr>
  </w:style>
  <w:style w:type="character" w:customStyle="1" w:styleId="TextbublinyChar">
    <w:name w:val="Text bubliny Char"/>
    <w:basedOn w:val="Predvolenpsmoodseku"/>
    <w:link w:val="Textbubliny"/>
    <w:uiPriority w:val="99"/>
    <w:semiHidden/>
    <w:rsid w:val="004B69E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1570905">
      <w:bodyDiv w:val="1"/>
      <w:marLeft w:val="0"/>
      <w:marRight w:val="0"/>
      <w:marTop w:val="0"/>
      <w:marBottom w:val="0"/>
      <w:divBdr>
        <w:top w:val="none" w:sz="0" w:space="0" w:color="auto"/>
        <w:left w:val="none" w:sz="0" w:space="0" w:color="auto"/>
        <w:bottom w:val="none" w:sz="0" w:space="0" w:color="auto"/>
        <w:right w:val="none" w:sz="0" w:space="0" w:color="auto"/>
      </w:divBdr>
    </w:div>
    <w:div w:id="372731025">
      <w:bodyDiv w:val="1"/>
      <w:marLeft w:val="0"/>
      <w:marRight w:val="0"/>
      <w:marTop w:val="0"/>
      <w:marBottom w:val="0"/>
      <w:divBdr>
        <w:top w:val="none" w:sz="0" w:space="0" w:color="auto"/>
        <w:left w:val="none" w:sz="0" w:space="0" w:color="auto"/>
        <w:bottom w:val="none" w:sz="0" w:space="0" w:color="auto"/>
        <w:right w:val="none" w:sz="0" w:space="0" w:color="auto"/>
      </w:divBdr>
    </w:div>
    <w:div w:id="529299698">
      <w:bodyDiv w:val="1"/>
      <w:marLeft w:val="0"/>
      <w:marRight w:val="0"/>
      <w:marTop w:val="0"/>
      <w:marBottom w:val="0"/>
      <w:divBdr>
        <w:top w:val="none" w:sz="0" w:space="0" w:color="auto"/>
        <w:left w:val="none" w:sz="0" w:space="0" w:color="auto"/>
        <w:bottom w:val="none" w:sz="0" w:space="0" w:color="auto"/>
        <w:right w:val="none" w:sz="0" w:space="0" w:color="auto"/>
      </w:divBdr>
    </w:div>
    <w:div w:id="716658605">
      <w:bodyDiv w:val="1"/>
      <w:marLeft w:val="0"/>
      <w:marRight w:val="0"/>
      <w:marTop w:val="0"/>
      <w:marBottom w:val="0"/>
      <w:divBdr>
        <w:top w:val="none" w:sz="0" w:space="0" w:color="auto"/>
        <w:left w:val="none" w:sz="0" w:space="0" w:color="auto"/>
        <w:bottom w:val="none" w:sz="0" w:space="0" w:color="auto"/>
        <w:right w:val="none" w:sz="0" w:space="0" w:color="auto"/>
      </w:divBdr>
    </w:div>
    <w:div w:id="912356451">
      <w:bodyDiv w:val="1"/>
      <w:marLeft w:val="0"/>
      <w:marRight w:val="0"/>
      <w:marTop w:val="0"/>
      <w:marBottom w:val="0"/>
      <w:divBdr>
        <w:top w:val="none" w:sz="0" w:space="0" w:color="auto"/>
        <w:left w:val="none" w:sz="0" w:space="0" w:color="auto"/>
        <w:bottom w:val="none" w:sz="0" w:space="0" w:color="auto"/>
        <w:right w:val="none" w:sz="0" w:space="0" w:color="auto"/>
      </w:divBdr>
    </w:div>
    <w:div w:id="159235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emf"/><Relationship Id="rId26" Type="http://schemas.openxmlformats.org/officeDocument/2006/relationships/image" Target="media/image9.emf"/><Relationship Id="rId39" Type="http://schemas.openxmlformats.org/officeDocument/2006/relationships/package" Target="embeddings/Pracovn__h_rok_programu_Microsoft_Office_Excel13.xlsx"/><Relationship Id="rId21" Type="http://schemas.openxmlformats.org/officeDocument/2006/relationships/package" Target="embeddings/Pracovn__h_rok_programu_Microsoft_Office_Excel4.xlsx"/><Relationship Id="rId34" Type="http://schemas.openxmlformats.org/officeDocument/2006/relationships/image" Target="media/image13.emf"/><Relationship Id="rId42" Type="http://schemas.openxmlformats.org/officeDocument/2006/relationships/image" Target="media/image17.emf"/><Relationship Id="rId47" Type="http://schemas.openxmlformats.org/officeDocument/2006/relationships/package" Target="embeddings/Pracovn__h_rok_programu_Microsoft_Office_Excel17.xlsx"/><Relationship Id="rId50" Type="http://schemas.openxmlformats.org/officeDocument/2006/relationships/image" Target="media/image21.emf"/><Relationship Id="rId55" Type="http://schemas.openxmlformats.org/officeDocument/2006/relationships/package" Target="embeddings/Pracovn__h_rok_programu_Microsoft_Office_Excel21.xlsx"/><Relationship Id="rId63" Type="http://schemas.openxmlformats.org/officeDocument/2006/relationships/package" Target="embeddings/Pracovn__h_rok_programu_Microsoft_Office_Excel25.xlsx"/><Relationship Id="rId68" Type="http://schemas.openxmlformats.org/officeDocument/2006/relationships/image" Target="media/image30.emf"/><Relationship Id="rId76" Type="http://schemas.openxmlformats.org/officeDocument/2006/relationships/image" Target="media/image34.emf"/><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package" Target="embeddings/Pracovn__h_rok_programu_Microsoft_Office_Excel29.xlsx"/><Relationship Id="rId2" Type="http://schemas.openxmlformats.org/officeDocument/2006/relationships/numbering" Target="numbering.xml"/><Relationship Id="rId16" Type="http://schemas.openxmlformats.org/officeDocument/2006/relationships/image" Target="media/image4.emf"/><Relationship Id="rId29" Type="http://schemas.openxmlformats.org/officeDocument/2006/relationships/package" Target="embeddings/Pracovn__h_rok_programu_Microsoft_Office_Excel8.xlsx"/><Relationship Id="rId11" Type="http://schemas.openxmlformats.org/officeDocument/2006/relationships/footer" Target="footer2.xml"/><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package" Target="embeddings/Pracovn__h_rok_programu_Microsoft_Office_Excel12.xlsx"/><Relationship Id="rId40" Type="http://schemas.openxmlformats.org/officeDocument/2006/relationships/image" Target="media/image16.emf"/><Relationship Id="rId45" Type="http://schemas.openxmlformats.org/officeDocument/2006/relationships/package" Target="embeddings/Pracovn__h_rok_programu_Microsoft_Office_Excel16.xlsx"/><Relationship Id="rId53" Type="http://schemas.openxmlformats.org/officeDocument/2006/relationships/package" Target="embeddings/Pracovn__h_rok_programu_Microsoft_Office_Excel20.xlsx"/><Relationship Id="rId58" Type="http://schemas.openxmlformats.org/officeDocument/2006/relationships/image" Target="media/image25.emf"/><Relationship Id="rId66" Type="http://schemas.openxmlformats.org/officeDocument/2006/relationships/image" Target="media/image29.emf"/><Relationship Id="rId74" Type="http://schemas.openxmlformats.org/officeDocument/2006/relationships/image" Target="media/image33.emf"/><Relationship Id="rId79" Type="http://schemas.openxmlformats.org/officeDocument/2006/relationships/package" Target="embeddings/Pracovn__h_rok_programu_Microsoft_Office_Excel33.xlsx"/><Relationship Id="rId5" Type="http://schemas.openxmlformats.org/officeDocument/2006/relationships/webSettings" Target="webSettings.xml"/><Relationship Id="rId61" Type="http://schemas.openxmlformats.org/officeDocument/2006/relationships/package" Target="embeddings/Pracovn__h_rok_programu_Microsoft_Office_Excel24.xlsx"/><Relationship Id="rId82" Type="http://schemas.openxmlformats.org/officeDocument/2006/relationships/footer" Target="footer4.xml"/><Relationship Id="rId10" Type="http://schemas.openxmlformats.org/officeDocument/2006/relationships/footer" Target="footer1.xml"/><Relationship Id="rId19" Type="http://schemas.openxmlformats.org/officeDocument/2006/relationships/package" Target="embeddings/Pracovn__h_rok_programu_Microsoft_Office_Excel3.xlsx"/><Relationship Id="rId31" Type="http://schemas.openxmlformats.org/officeDocument/2006/relationships/package" Target="embeddings/Pracovn__h_rok_programu_Microsoft_Office_Excel9.xlsx"/><Relationship Id="rId44" Type="http://schemas.openxmlformats.org/officeDocument/2006/relationships/image" Target="media/image18.emf"/><Relationship Id="rId52" Type="http://schemas.openxmlformats.org/officeDocument/2006/relationships/image" Target="media/image22.emf"/><Relationship Id="rId60" Type="http://schemas.openxmlformats.org/officeDocument/2006/relationships/image" Target="media/image26.emf"/><Relationship Id="rId65" Type="http://schemas.openxmlformats.org/officeDocument/2006/relationships/package" Target="embeddings/Pracovn__h_rok_programu_Microsoft_Office_Excel26.xlsx"/><Relationship Id="rId73" Type="http://schemas.openxmlformats.org/officeDocument/2006/relationships/package" Target="embeddings/Pracovn__h_rok_programu_Microsoft_Office_Excel30.xlsx"/><Relationship Id="rId78" Type="http://schemas.openxmlformats.org/officeDocument/2006/relationships/image" Target="media/image35.emf"/><Relationship Id="rId8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package" Target="embeddings/Pracovn__h_rok_programu_Microsoft_Office_Excel7.xlsx"/><Relationship Id="rId30" Type="http://schemas.openxmlformats.org/officeDocument/2006/relationships/image" Target="media/image11.emf"/><Relationship Id="rId35" Type="http://schemas.openxmlformats.org/officeDocument/2006/relationships/package" Target="embeddings/Pracovn__h_rok_programu_Microsoft_Office_Excel11.xlsx"/><Relationship Id="rId43" Type="http://schemas.openxmlformats.org/officeDocument/2006/relationships/package" Target="embeddings/Pracovn__h_rok_programu_Microsoft_Office_Excel15.xlsx"/><Relationship Id="rId48" Type="http://schemas.openxmlformats.org/officeDocument/2006/relationships/image" Target="media/image20.emf"/><Relationship Id="rId56" Type="http://schemas.openxmlformats.org/officeDocument/2006/relationships/image" Target="media/image24.emf"/><Relationship Id="rId64" Type="http://schemas.openxmlformats.org/officeDocument/2006/relationships/image" Target="media/image28.emf"/><Relationship Id="rId69" Type="http://schemas.openxmlformats.org/officeDocument/2006/relationships/package" Target="embeddings/Pracovn__h_rok_programu_Microsoft_Office_Excel28.xlsx"/><Relationship Id="rId77" Type="http://schemas.openxmlformats.org/officeDocument/2006/relationships/package" Target="embeddings/Pracovn__h_rok_programu_Microsoft_Office_Excel32.xlsx"/><Relationship Id="rId8" Type="http://schemas.openxmlformats.org/officeDocument/2006/relationships/header" Target="header1.xml"/><Relationship Id="rId51" Type="http://schemas.openxmlformats.org/officeDocument/2006/relationships/package" Target="embeddings/Pracovn__h_rok_programu_Microsoft_Office_Excel19.xlsx"/><Relationship Id="rId72" Type="http://schemas.openxmlformats.org/officeDocument/2006/relationships/image" Target="media/image32.emf"/><Relationship Id="rId80" Type="http://schemas.openxmlformats.org/officeDocument/2006/relationships/header" Target="header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package" Target="embeddings/Pracovn__h_rok_programu_Microsoft_Office_Excel2.xlsx"/><Relationship Id="rId25" Type="http://schemas.openxmlformats.org/officeDocument/2006/relationships/package" Target="embeddings/Pracovn__h_rok_programu_Microsoft_Office_Excel6.xlsx"/><Relationship Id="rId33" Type="http://schemas.openxmlformats.org/officeDocument/2006/relationships/package" Target="embeddings/Pracovn__h_rok_programu_Microsoft_Office_Excel10.xlsx"/><Relationship Id="rId38" Type="http://schemas.openxmlformats.org/officeDocument/2006/relationships/image" Target="media/image15.emf"/><Relationship Id="rId46" Type="http://schemas.openxmlformats.org/officeDocument/2006/relationships/image" Target="media/image19.emf"/><Relationship Id="rId59" Type="http://schemas.openxmlformats.org/officeDocument/2006/relationships/package" Target="embeddings/Pracovn__h_rok_programu_Microsoft_Office_Excel23.xlsx"/><Relationship Id="rId67" Type="http://schemas.openxmlformats.org/officeDocument/2006/relationships/package" Target="embeddings/Pracovn__h_rok_programu_Microsoft_Office_Excel27.xlsx"/><Relationship Id="rId20" Type="http://schemas.openxmlformats.org/officeDocument/2006/relationships/image" Target="media/image6.emf"/><Relationship Id="rId41" Type="http://schemas.openxmlformats.org/officeDocument/2006/relationships/package" Target="embeddings/Pracovn__h_rok_programu_Microsoft_Office_Excel14.xlsx"/><Relationship Id="rId54" Type="http://schemas.openxmlformats.org/officeDocument/2006/relationships/image" Target="media/image23.emf"/><Relationship Id="rId62" Type="http://schemas.openxmlformats.org/officeDocument/2006/relationships/image" Target="media/image27.emf"/><Relationship Id="rId70" Type="http://schemas.openxmlformats.org/officeDocument/2006/relationships/image" Target="media/image31.emf"/><Relationship Id="rId75" Type="http://schemas.openxmlformats.org/officeDocument/2006/relationships/package" Target="embeddings/Pracovn__h_rok_programu_Microsoft_Office_Excel31.xlsx"/><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package" Target="embeddings/Pracovn__h_rok_programu_Microsoft_Office_Excel1.xlsx"/><Relationship Id="rId23" Type="http://schemas.openxmlformats.org/officeDocument/2006/relationships/package" Target="embeddings/Pracovn__h_rok_programu_Microsoft_Office_Excel5.xlsx"/><Relationship Id="rId28" Type="http://schemas.openxmlformats.org/officeDocument/2006/relationships/image" Target="media/image10.emf"/><Relationship Id="rId36" Type="http://schemas.openxmlformats.org/officeDocument/2006/relationships/image" Target="media/image14.emf"/><Relationship Id="rId49" Type="http://schemas.openxmlformats.org/officeDocument/2006/relationships/package" Target="embeddings/Pracovn__h_rok_programu_Microsoft_Office_Excel18.xlsx"/><Relationship Id="rId57" Type="http://schemas.openxmlformats.org/officeDocument/2006/relationships/package" Target="embeddings/Pracovn__h_rok_programu_Microsoft_Office_Excel22.xlsx"/></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EC603-759C-46CE-9EA5-DAAEB2BE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4697</Words>
  <Characters>26775</Characters>
  <Application>Microsoft Office Word</Application>
  <DocSecurity>0</DocSecurity>
  <Lines>223</Lines>
  <Paragraphs>62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KPMG</Company>
  <LinksUpToDate>false</LinksUpToDate>
  <CharactersWithSpaces>31410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lstankovits</dc:creator>
  <cp:keywords/>
  <cp:lastModifiedBy>OEM</cp:lastModifiedBy>
  <cp:revision>2</cp:revision>
  <cp:lastPrinted>2011-11-22T08:34:00Z</cp:lastPrinted>
  <dcterms:created xsi:type="dcterms:W3CDTF">2013-04-09T06:36:00Z</dcterms:created>
  <dcterms:modified xsi:type="dcterms:W3CDTF">2013-04-09T06:36:00Z</dcterms:modified>
</cp:coreProperties>
</file>