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B4A" w:rsidRDefault="004659D3" w:rsidP="00085ECF">
      <w:pPr>
        <w:pStyle w:val="Nadpis1"/>
        <w:numPr>
          <w:ilvl w:val="0"/>
          <w:numId w:val="37"/>
        </w:numPr>
        <w:spacing w:after="60"/>
      </w:pPr>
      <w:bookmarkStart w:id="0" w:name="_Toc530739894"/>
      <w:r>
        <w:t>všeobecné  informácie</w:t>
      </w:r>
      <w:bookmarkEnd w:id="0"/>
    </w:p>
    <w:p w:rsidR="004D3B4A" w:rsidRDefault="004D3B4A" w:rsidP="004D3B4A">
      <w:pPr>
        <w:pStyle w:val="Zkladntext"/>
      </w:pPr>
    </w:p>
    <w:p w:rsidR="004D3B4A" w:rsidRDefault="00D72087" w:rsidP="004D3B4A">
      <w:pPr>
        <w:pStyle w:val="Nadpis2"/>
        <w:numPr>
          <w:ilvl w:val="0"/>
          <w:numId w:val="2"/>
        </w:numPr>
      </w:pPr>
      <w:r>
        <w:t>Založenie spoločnosti</w:t>
      </w:r>
    </w:p>
    <w:p w:rsidR="004D3B4A" w:rsidRDefault="004D3B4A" w:rsidP="004D3B4A">
      <w:pPr>
        <w:pStyle w:val="Zkladntext"/>
      </w:pPr>
      <w:r>
        <w:t xml:space="preserve">Spoločnosť </w:t>
      </w:r>
      <w:r w:rsidR="00C16B00" w:rsidRPr="00C16B00">
        <w:rPr>
          <w:b/>
        </w:rPr>
        <w:t>PRO POPULO</w:t>
      </w:r>
      <w:r w:rsidR="00C16B00">
        <w:t xml:space="preserve"> </w:t>
      </w:r>
      <w:r w:rsidR="00C16B00">
        <w:rPr>
          <w:b/>
        </w:rPr>
        <w:t xml:space="preserve">PP </w:t>
      </w:r>
      <w:proofErr w:type="spellStart"/>
      <w:r w:rsidR="00C16B00">
        <w:rPr>
          <w:b/>
        </w:rPr>
        <w:t>a.s</w:t>
      </w:r>
      <w:proofErr w:type="spellEnd"/>
      <w:r w:rsidR="00C16B00">
        <w:rPr>
          <w:b/>
        </w:rPr>
        <w:t>.</w:t>
      </w:r>
      <w:r w:rsidR="003519EB">
        <w:t xml:space="preserve"> (ďalej len s</w:t>
      </w:r>
      <w:r>
        <w:t xml:space="preserve">poločnosť), bola založená </w:t>
      </w:r>
      <w:r w:rsidR="009F50D0">
        <w:t>08</w:t>
      </w:r>
      <w:r>
        <w:t xml:space="preserve">. </w:t>
      </w:r>
      <w:r w:rsidR="009F50D0">
        <w:t>októbra</w:t>
      </w:r>
      <w:r>
        <w:t xml:space="preserve"> 199</w:t>
      </w:r>
      <w:r w:rsidR="009F50D0">
        <w:t>1</w:t>
      </w:r>
      <w:r>
        <w:t xml:space="preserve"> a</w:t>
      </w:r>
      <w:r w:rsidR="009F50D0">
        <w:t xml:space="preserve"> v súčasnej podobe bola zapísaná po transformácii </w:t>
      </w:r>
      <w:r>
        <w:t xml:space="preserve">do obchodného registra </w:t>
      </w:r>
      <w:r w:rsidR="009F50D0">
        <w:t>dňa 8</w:t>
      </w:r>
      <w:r>
        <w:t>. j</w:t>
      </w:r>
      <w:r w:rsidR="009F50D0">
        <w:t>anuára</w:t>
      </w:r>
      <w:r>
        <w:t xml:space="preserve"> </w:t>
      </w:r>
      <w:r w:rsidR="009F50D0">
        <w:t>2000.</w:t>
      </w:r>
      <w:r>
        <w:t xml:space="preserve"> (Obchodný register Okresného súdu </w:t>
      </w:r>
      <w:r w:rsidR="009F50D0">
        <w:t>Prešov</w:t>
      </w:r>
      <w:r>
        <w:t xml:space="preserve">, oddiel </w:t>
      </w:r>
      <w:r w:rsidR="009F50D0">
        <w:t>Sa</w:t>
      </w:r>
      <w:r>
        <w:t xml:space="preserve">., vložka </w:t>
      </w:r>
      <w:r w:rsidR="009F50D0">
        <w:t>30/P</w:t>
      </w:r>
      <w:r>
        <w:t xml:space="preserve">. </w:t>
      </w:r>
    </w:p>
    <w:p w:rsidR="004D3B4A" w:rsidRDefault="004D3B4A" w:rsidP="004D3B4A"/>
    <w:p w:rsidR="004D3B4A" w:rsidRDefault="004D3B4A" w:rsidP="004D3B4A">
      <w:pPr>
        <w:pStyle w:val="Nadpis2"/>
        <w:numPr>
          <w:ilvl w:val="0"/>
          <w:numId w:val="2"/>
        </w:numPr>
      </w:pPr>
      <w:bookmarkStart w:id="1" w:name="_Toc530739896"/>
      <w:r>
        <w:t xml:space="preserve">Hlavnými činnosťami </w:t>
      </w:r>
      <w:r w:rsidR="00BE188C">
        <w:t>s</w:t>
      </w:r>
      <w:r>
        <w:t>poločnosti sú:</w:t>
      </w:r>
      <w:bookmarkEnd w:id="1"/>
    </w:p>
    <w:p w:rsidR="004D3B4A" w:rsidRDefault="004D3B4A" w:rsidP="004D3B4A">
      <w:pPr>
        <w:pStyle w:val="Zkladntext"/>
      </w:pPr>
      <w:r>
        <w:t xml:space="preserve">– </w:t>
      </w:r>
      <w:proofErr w:type="spellStart"/>
      <w:r w:rsidR="009F50D0">
        <w:t>píliarska</w:t>
      </w:r>
      <w:proofErr w:type="spellEnd"/>
      <w:r w:rsidR="009F50D0">
        <w:t xml:space="preserve"> výroba a </w:t>
      </w:r>
      <w:proofErr w:type="spellStart"/>
      <w:r w:rsidR="009F50D0">
        <w:t>porez</w:t>
      </w:r>
      <w:proofErr w:type="spellEnd"/>
      <w:r w:rsidR="009F50D0">
        <w:t xml:space="preserve"> drevnej hmoty</w:t>
      </w:r>
      <w:r>
        <w:t>,</w:t>
      </w:r>
    </w:p>
    <w:p w:rsidR="004D3B4A" w:rsidRDefault="009F50D0" w:rsidP="004D3B4A">
      <w:pPr>
        <w:pStyle w:val="Zkladntext"/>
      </w:pPr>
      <w:r>
        <w:t>-  prenájom hnuteľných a nehnuteľných vecí</w:t>
      </w:r>
      <w:r w:rsidR="006C0482">
        <w:t>,</w:t>
      </w:r>
    </w:p>
    <w:p w:rsidR="006C0482" w:rsidRDefault="006C0482" w:rsidP="004D3B4A">
      <w:pPr>
        <w:pStyle w:val="Zkladntext"/>
      </w:pPr>
      <w:r>
        <w:t xml:space="preserve">- výroba  a dodávka elektriny zariadeniami na výrobu elektriny s celkovým inštalovaným výkonom do </w:t>
      </w:r>
      <w:r w:rsidR="00CA0574">
        <w:t xml:space="preserve">1 </w:t>
      </w:r>
      <w:r>
        <w:t>MW vrátane</w:t>
      </w:r>
    </w:p>
    <w:p w:rsidR="004D3B4A" w:rsidRDefault="004D3B4A" w:rsidP="004D3B4A">
      <w:pPr>
        <w:pStyle w:val="Zkladntext"/>
      </w:pPr>
    </w:p>
    <w:p w:rsidR="004D3B4A" w:rsidRDefault="005F5D4F" w:rsidP="004D3B4A">
      <w:pPr>
        <w:pStyle w:val="Nadpis2"/>
        <w:numPr>
          <w:ilvl w:val="0"/>
          <w:numId w:val="2"/>
        </w:numPr>
      </w:pPr>
      <w:r>
        <w:t>P</w:t>
      </w:r>
      <w:r w:rsidR="004D3B4A">
        <w:t xml:space="preserve">očet zamestnancov </w:t>
      </w:r>
    </w:p>
    <w:p w:rsidR="005F5D4F" w:rsidRDefault="005F5D4F" w:rsidP="004D3B4A">
      <w:pPr>
        <w:pStyle w:val="Zkladntext"/>
      </w:pPr>
      <w:r>
        <w:t>Údaje o počte zamestnancov za bežné účtovné obdobie a bezprostredne predchádzajúce účtovné obdobie sú uvedené v nasledujúcom prehľade:</w:t>
      </w:r>
    </w:p>
    <w:p w:rsidR="005F5D4F" w:rsidRDefault="005F5D4F" w:rsidP="004D3B4A">
      <w:pPr>
        <w:pStyle w:val="Zkladntext"/>
      </w:pPr>
    </w:p>
    <w:bookmarkStart w:id="2" w:name="_MON_1423980584"/>
    <w:bookmarkEnd w:id="2"/>
    <w:p w:rsidR="000A1BBA" w:rsidRDefault="00042B55" w:rsidP="004D3B4A">
      <w:pPr>
        <w:pStyle w:val="Zkladntext"/>
      </w:pPr>
      <w:r>
        <w:object w:dxaOrig="8127" w:dyaOrig="16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5.25pt;height:85.5pt" o:ole="" o:preferrelative="f">
            <v:imagedata r:id="rId8" o:title=""/>
            <o:lock v:ext="edit" aspectratio="f"/>
          </v:shape>
          <o:OLEObject Type="Embed" ProgID="Excel.Sheet.12" ShapeID="_x0000_i1025" DrawAspect="Content" ObjectID="_1587205906" r:id="rId9"/>
        </w:object>
      </w:r>
    </w:p>
    <w:p w:rsidR="004D3B4A" w:rsidRDefault="004D3B4A" w:rsidP="004D3B4A">
      <w:pPr>
        <w:pStyle w:val="Zkladntext"/>
      </w:pPr>
    </w:p>
    <w:p w:rsidR="004D3B4A" w:rsidRDefault="004D3B4A" w:rsidP="004D3B4A">
      <w:pPr>
        <w:pStyle w:val="Nadpis2"/>
        <w:numPr>
          <w:ilvl w:val="0"/>
          <w:numId w:val="2"/>
        </w:numPr>
      </w:pPr>
      <w:r>
        <w:t>Údaje o neobmedzenom ručení</w:t>
      </w:r>
    </w:p>
    <w:p w:rsidR="004D3B4A" w:rsidRDefault="004D3B4A" w:rsidP="004D3B4A">
      <w:pPr>
        <w:ind w:left="450"/>
        <w:jc w:val="both"/>
        <w:rPr>
          <w:sz w:val="18"/>
          <w:szCs w:val="18"/>
        </w:rPr>
      </w:pPr>
      <w:r w:rsidRPr="00D87FBD">
        <w:rPr>
          <w:sz w:val="18"/>
          <w:szCs w:val="18"/>
        </w:rPr>
        <w:t>Spoločnosť nie je neobmedzene ručiacim spoločníkom v</w:t>
      </w:r>
      <w:r w:rsidRPr="00C35B60">
        <w:rPr>
          <w:sz w:val="18"/>
          <w:szCs w:val="18"/>
        </w:rPr>
        <w:t> </w:t>
      </w:r>
      <w:r w:rsidRPr="00D87FBD">
        <w:rPr>
          <w:sz w:val="18"/>
          <w:szCs w:val="18"/>
        </w:rPr>
        <w:t xml:space="preserve">iných </w:t>
      </w:r>
      <w:r>
        <w:rPr>
          <w:sz w:val="18"/>
          <w:szCs w:val="18"/>
        </w:rPr>
        <w:t xml:space="preserve">spoločnostiach podľa </w:t>
      </w:r>
      <w:r w:rsidRPr="00467471">
        <w:rPr>
          <w:sz w:val="18"/>
          <w:szCs w:val="18"/>
        </w:rPr>
        <w:t>§ 56 ods. 5 Obchodného zákonníka</w:t>
      </w:r>
      <w:r w:rsidRPr="00D87FBD">
        <w:rPr>
          <w:sz w:val="18"/>
          <w:szCs w:val="18"/>
        </w:rPr>
        <w:t>.</w:t>
      </w:r>
    </w:p>
    <w:p w:rsidR="004D3B4A" w:rsidRDefault="004D3B4A" w:rsidP="004D3B4A">
      <w:pPr>
        <w:pStyle w:val="Zkladntext"/>
      </w:pPr>
    </w:p>
    <w:p w:rsidR="004D3B4A" w:rsidRDefault="004D3B4A" w:rsidP="004D3B4A">
      <w:pPr>
        <w:pStyle w:val="Nadpis2"/>
        <w:numPr>
          <w:ilvl w:val="0"/>
          <w:numId w:val="2"/>
        </w:numPr>
      </w:pPr>
      <w:r>
        <w:t>Právny dôvod na zostavenie účtovnej závierky</w:t>
      </w:r>
    </w:p>
    <w:p w:rsidR="004D3B4A" w:rsidRDefault="004D3B4A" w:rsidP="004D3B4A">
      <w:pPr>
        <w:pStyle w:val="Zkladntext"/>
        <w:ind w:hanging="426"/>
      </w:pPr>
      <w:r>
        <w:tab/>
        <w:t xml:space="preserve">Účtovná závierka </w:t>
      </w:r>
      <w:r w:rsidR="003519EB">
        <w:t>s</w:t>
      </w:r>
      <w:r>
        <w:t>poločnosti k 31. decembru 201</w:t>
      </w:r>
      <w:r w:rsidR="003D0F0C">
        <w:t>7</w:t>
      </w:r>
      <w:r>
        <w:t xml:space="preserve"> je zostavená ako riadna účtovná závierka podľa § 17 ods. 6 zákona </w:t>
      </w:r>
      <w:r w:rsidRPr="009C33CC">
        <w:t>NR</w:t>
      </w:r>
      <w:r>
        <w:t> </w:t>
      </w:r>
      <w:r w:rsidRPr="009C33CC">
        <w:t>SR</w:t>
      </w:r>
      <w:r>
        <w:t xml:space="preserve"> č. 431/2002 Z. z. o účtovníctve za účtovné obdobie od 1. januára 201</w:t>
      </w:r>
      <w:r w:rsidR="003D0F0C">
        <w:t>7</w:t>
      </w:r>
      <w:r>
        <w:t xml:space="preserve"> do 31. decembra 201</w:t>
      </w:r>
      <w:r w:rsidR="003D0F0C">
        <w:t>7</w:t>
      </w:r>
      <w:r>
        <w:t>.</w:t>
      </w:r>
    </w:p>
    <w:p w:rsidR="004D3B4A" w:rsidRDefault="004D3B4A" w:rsidP="004D3B4A">
      <w:pPr>
        <w:pStyle w:val="Zkladntext"/>
        <w:ind w:hanging="426"/>
      </w:pPr>
    </w:p>
    <w:p w:rsidR="004D3B4A" w:rsidRDefault="004D3B4A" w:rsidP="004D3B4A">
      <w:pPr>
        <w:pStyle w:val="Nadpis2"/>
        <w:numPr>
          <w:ilvl w:val="0"/>
          <w:numId w:val="2"/>
        </w:numPr>
      </w:pPr>
      <w:r>
        <w:t>Dátum schválenia účtovnej závierky za predchádzajúce účtovné obdobie</w:t>
      </w:r>
    </w:p>
    <w:p w:rsidR="004D3B4A" w:rsidRDefault="004D3B4A" w:rsidP="004D3B4A">
      <w:pPr>
        <w:pStyle w:val="Zkladntext"/>
        <w:ind w:hanging="426"/>
      </w:pPr>
      <w:r>
        <w:tab/>
        <w:t xml:space="preserve">Účtovná závierka </w:t>
      </w:r>
      <w:r w:rsidR="005D2B77">
        <w:t>s</w:t>
      </w:r>
      <w:r>
        <w:t>poločnosti k 31. decembru 201</w:t>
      </w:r>
      <w:r w:rsidR="003D0F0C">
        <w:t>6</w:t>
      </w:r>
      <w:r>
        <w:t xml:space="preserve">, za predchádzajúce účtovné obdobie, bola schválená valným zhromaždením </w:t>
      </w:r>
      <w:r w:rsidR="00014193">
        <w:t xml:space="preserve">akcionárov </w:t>
      </w:r>
      <w:r w:rsidR="00BE188C">
        <w:t>s</w:t>
      </w:r>
      <w:r>
        <w:t xml:space="preserve">poločnosti </w:t>
      </w:r>
      <w:r w:rsidR="00014193">
        <w:t xml:space="preserve"> konaného </w:t>
      </w:r>
      <w:r w:rsidR="00014193" w:rsidRPr="00CA0574">
        <w:t xml:space="preserve">dňa </w:t>
      </w:r>
      <w:r w:rsidR="00CA0574" w:rsidRPr="00CA0574">
        <w:t>2</w:t>
      </w:r>
      <w:r w:rsidR="002B5CAC">
        <w:t>4</w:t>
      </w:r>
      <w:r w:rsidR="00CA0574" w:rsidRPr="00CA0574">
        <w:t xml:space="preserve">. </w:t>
      </w:r>
      <w:r w:rsidR="002B5CAC">
        <w:t xml:space="preserve">mája </w:t>
      </w:r>
      <w:r w:rsidR="00CA0574" w:rsidRPr="00CA0574">
        <w:t>201</w:t>
      </w:r>
      <w:r w:rsidR="003D0F0C">
        <w:t>7</w:t>
      </w:r>
    </w:p>
    <w:p w:rsidR="004D3B4A" w:rsidRDefault="005D76A2" w:rsidP="005D76A2">
      <w:pPr>
        <w:pStyle w:val="Zkladntext"/>
        <w:tabs>
          <w:tab w:val="left" w:pos="8490"/>
        </w:tabs>
        <w:ind w:hanging="426"/>
      </w:pPr>
      <w:r>
        <w:tab/>
      </w:r>
      <w:r>
        <w:tab/>
      </w:r>
    </w:p>
    <w:p w:rsidR="004D3B4A" w:rsidRDefault="004D3B4A" w:rsidP="004D3B4A">
      <w:pPr>
        <w:pStyle w:val="Nadpis2"/>
        <w:numPr>
          <w:ilvl w:val="0"/>
          <w:numId w:val="2"/>
        </w:numPr>
      </w:pPr>
      <w:bookmarkStart w:id="3" w:name="OLE_LINK13"/>
      <w:bookmarkStart w:id="4" w:name="OLE_LINK14"/>
      <w:r>
        <w:t>Zverejnenie účtovnej závierky za predchádzajúce účtovné obdobie</w:t>
      </w:r>
    </w:p>
    <w:p w:rsidR="004D3B4A" w:rsidRDefault="003519EB" w:rsidP="004D3B4A">
      <w:pPr>
        <w:pStyle w:val="Zkladntext"/>
      </w:pPr>
      <w:r>
        <w:t>S</w:t>
      </w:r>
      <w:r w:rsidR="00B51029">
        <w:t>chv</w:t>
      </w:r>
      <w:r>
        <w:t>álen</w:t>
      </w:r>
      <w:r w:rsidR="00B51029">
        <w:t>á</w:t>
      </w:r>
      <w:r>
        <w:t xml:space="preserve"> ú</w:t>
      </w:r>
      <w:r w:rsidR="004D3B4A" w:rsidRPr="00194BFD">
        <w:t>čtovn</w:t>
      </w:r>
      <w:r w:rsidR="00B51029">
        <w:t>á</w:t>
      </w:r>
      <w:r w:rsidR="004D3B4A" w:rsidRPr="00194BFD">
        <w:t xml:space="preserve"> závierka </w:t>
      </w:r>
      <w:r w:rsidR="005D2B77">
        <w:t>s</w:t>
      </w:r>
      <w:r w:rsidR="004D3B4A" w:rsidRPr="00194BFD">
        <w:t>poločnosti</w:t>
      </w:r>
      <w:r>
        <w:t xml:space="preserve"> valným zhromaždením</w:t>
      </w:r>
      <w:r w:rsidR="004D3B4A" w:rsidRPr="00194BFD">
        <w:t xml:space="preserve"> k 31. decembru </w:t>
      </w:r>
      <w:r w:rsidR="004D3B4A">
        <w:t>201</w:t>
      </w:r>
      <w:r w:rsidR="002B5CAC">
        <w:t>6</w:t>
      </w:r>
      <w:r w:rsidR="004D3B4A" w:rsidRPr="00194BFD">
        <w:t xml:space="preserve"> spolu s výročnou správou a správou audítora o overení účtovnej závierky k 31. decembru </w:t>
      </w:r>
      <w:r w:rsidR="004D3B4A">
        <w:t>201</w:t>
      </w:r>
      <w:r w:rsidR="002B5CAC">
        <w:t>6</w:t>
      </w:r>
      <w:r w:rsidR="004D3B4A" w:rsidRPr="00194BFD">
        <w:t xml:space="preserve"> bola </w:t>
      </w:r>
      <w:r w:rsidR="00BE188C">
        <w:t xml:space="preserve">zaslané na </w:t>
      </w:r>
      <w:r>
        <w:t>finančnú správu</w:t>
      </w:r>
      <w:r w:rsidR="00BE188C">
        <w:t xml:space="preserve"> </w:t>
      </w:r>
      <w:r>
        <w:t>SR</w:t>
      </w:r>
      <w:r w:rsidR="00BE188C">
        <w:t xml:space="preserve"> </w:t>
      </w:r>
      <w:r w:rsidR="004D3B4A" w:rsidRPr="00194BFD">
        <w:t xml:space="preserve"> </w:t>
      </w:r>
      <w:r w:rsidR="002B5CAC">
        <w:t>08.06.2017</w:t>
      </w:r>
      <w:r w:rsidR="004D3B4A" w:rsidRPr="00194BFD">
        <w:t xml:space="preserve">. </w:t>
      </w:r>
      <w:r>
        <w:t>S</w:t>
      </w:r>
      <w:r w:rsidR="004C4FDC">
        <w:t>účasne sú</w:t>
      </w:r>
      <w:r>
        <w:t xml:space="preserve"> všetky účtovné závierky a dokumenty </w:t>
      </w:r>
      <w:r w:rsidR="004C4FDC">
        <w:t xml:space="preserve"> k dispozícii  </w:t>
      </w:r>
      <w:r w:rsidR="00014193">
        <w:t xml:space="preserve">na </w:t>
      </w:r>
      <w:r w:rsidR="004C4FDC">
        <w:t>web stránke spoločnosti</w:t>
      </w:r>
      <w:r w:rsidR="00014193">
        <w:t xml:space="preserve"> </w:t>
      </w:r>
      <w:r w:rsidR="004C4FDC">
        <w:t xml:space="preserve"> </w:t>
      </w:r>
      <w:r w:rsidR="00D27659">
        <w:t xml:space="preserve"> </w:t>
      </w:r>
      <w:r w:rsidR="004C4FDC">
        <w:t>ww</w:t>
      </w:r>
      <w:r w:rsidR="00014193">
        <w:t>w</w:t>
      </w:r>
      <w:r w:rsidR="004C4FDC">
        <w:t>.ppas.sk</w:t>
      </w:r>
      <w:r w:rsidR="004D3B4A" w:rsidRPr="00194BFD">
        <w:t>.</w:t>
      </w:r>
    </w:p>
    <w:p w:rsidR="004D3B4A" w:rsidRDefault="004D3B4A" w:rsidP="004D3B4A">
      <w:pPr>
        <w:pStyle w:val="Zkladntext"/>
      </w:pPr>
    </w:p>
    <w:p w:rsidR="004D3B4A" w:rsidRPr="001D1700" w:rsidRDefault="004D3B4A" w:rsidP="004D3B4A">
      <w:pPr>
        <w:pStyle w:val="Nadpis2"/>
        <w:numPr>
          <w:ilvl w:val="0"/>
          <w:numId w:val="2"/>
        </w:numPr>
      </w:pPr>
      <w:r>
        <w:t>Schválenie audítora</w:t>
      </w:r>
    </w:p>
    <w:p w:rsidR="004D3B4A" w:rsidRDefault="005D2149" w:rsidP="004D3B4A">
      <w:pPr>
        <w:pStyle w:val="Zkladntext"/>
      </w:pPr>
      <w:r w:rsidRPr="001D1700">
        <w:t xml:space="preserve">Valné zhromaždenie </w:t>
      </w:r>
      <w:r w:rsidR="006C0482" w:rsidRPr="001D1700">
        <w:t>8.12.2016</w:t>
      </w:r>
      <w:r w:rsidR="003519EB" w:rsidRPr="001D1700">
        <w:t xml:space="preserve"> </w:t>
      </w:r>
      <w:r w:rsidR="003519EB">
        <w:t xml:space="preserve">určila </w:t>
      </w:r>
      <w:r w:rsidR="006C0482">
        <w:t xml:space="preserve">ACCEPT AUDIT§CONSULTING </w:t>
      </w:r>
      <w:proofErr w:type="spellStart"/>
      <w:r w:rsidR="006C0482">
        <w:t>s.r.o</w:t>
      </w:r>
      <w:proofErr w:type="spellEnd"/>
      <w:r w:rsidR="006C0482">
        <w:t>.</w:t>
      </w:r>
      <w:r w:rsidR="004F2A77">
        <w:t xml:space="preserve">. </w:t>
      </w:r>
      <w:r w:rsidR="004D3B4A">
        <w:t>ako audítora na overenie účtovnej závierky za účtovné obdobie od 1. januára 201</w:t>
      </w:r>
      <w:r w:rsidR="002B5CAC">
        <w:t>7</w:t>
      </w:r>
      <w:r w:rsidR="004D3B4A">
        <w:t xml:space="preserve"> do 31. decembra 201</w:t>
      </w:r>
      <w:r w:rsidR="002B5CAC">
        <w:t>7</w:t>
      </w:r>
      <w:r w:rsidR="004D3B4A">
        <w:t>.</w:t>
      </w:r>
    </w:p>
    <w:bookmarkEnd w:id="3"/>
    <w:bookmarkEnd w:id="4"/>
    <w:p w:rsidR="004D3B4A" w:rsidRDefault="004D3B4A" w:rsidP="004D3B4A">
      <w:pPr>
        <w:pStyle w:val="Zkladntext"/>
        <w:jc w:val="left"/>
      </w:pPr>
    </w:p>
    <w:p w:rsidR="00A8210A" w:rsidRDefault="00A8210A" w:rsidP="004D3B4A">
      <w:pPr>
        <w:pStyle w:val="Zkladntext"/>
        <w:jc w:val="left"/>
      </w:pPr>
    </w:p>
    <w:p w:rsidR="004D3B4A" w:rsidRDefault="004D3B4A" w:rsidP="00A82773">
      <w:pPr>
        <w:pStyle w:val="Nadpis1"/>
        <w:numPr>
          <w:ilvl w:val="0"/>
          <w:numId w:val="0"/>
        </w:numPr>
        <w:spacing w:before="120" w:after="60"/>
        <w:ind w:left="450" w:hanging="360"/>
      </w:pPr>
      <w:bookmarkStart w:id="5" w:name="_Toc530739897"/>
      <w:r>
        <w:t>Informácie o orgánoch účtovnej jednotky</w:t>
      </w:r>
      <w:bookmarkEnd w:id="5"/>
    </w:p>
    <w:p w:rsidR="004D3B4A" w:rsidRDefault="004D3B4A" w:rsidP="004D3B4A"/>
    <w:p w:rsidR="0091120B" w:rsidRDefault="00641A25" w:rsidP="004D3B4A">
      <w:pPr>
        <w:pStyle w:val="Zkladntext"/>
      </w:pPr>
      <w:r>
        <w:t xml:space="preserve">Predstavenstvo </w:t>
      </w:r>
      <w:r w:rsidR="004D3B4A">
        <w:tab/>
      </w:r>
      <w:r w:rsidR="0091120B">
        <w:t xml:space="preserve">Ing. Kristián Slimák predseda predstavenstva </w:t>
      </w:r>
    </w:p>
    <w:p w:rsidR="004D3B4A" w:rsidRDefault="004D3B4A" w:rsidP="0091120B">
      <w:pPr>
        <w:pStyle w:val="Zkladntext"/>
        <w:ind w:left="1842" w:firstLine="282"/>
      </w:pPr>
      <w:r>
        <w:t xml:space="preserve">Ing. </w:t>
      </w:r>
      <w:r w:rsidR="00641A25">
        <w:t xml:space="preserve">Jozef </w:t>
      </w:r>
      <w:proofErr w:type="spellStart"/>
      <w:r w:rsidR="00641A25">
        <w:t>Šiškovič</w:t>
      </w:r>
      <w:proofErr w:type="spellEnd"/>
      <w:r w:rsidR="00641A25">
        <w:t xml:space="preserve"> </w:t>
      </w:r>
      <w:r w:rsidR="0091120B">
        <w:t>člen</w:t>
      </w:r>
      <w:r w:rsidR="00F943B9">
        <w:t xml:space="preserve"> </w:t>
      </w:r>
      <w:r w:rsidR="00641A25">
        <w:t>predstavenstva</w:t>
      </w:r>
      <w:r w:rsidR="00347DCC">
        <w:t xml:space="preserve"> </w:t>
      </w:r>
    </w:p>
    <w:p w:rsidR="00641A25" w:rsidRDefault="00641A25" w:rsidP="004D3B4A">
      <w:pPr>
        <w:pStyle w:val="Zkladntext"/>
      </w:pPr>
      <w:r>
        <w:t xml:space="preserve">     </w:t>
      </w:r>
      <w:r w:rsidR="00347DCC">
        <w:t xml:space="preserve">                      </w:t>
      </w:r>
      <w:r w:rsidR="006C0482">
        <w:t xml:space="preserve">    </w:t>
      </w:r>
      <w:r w:rsidR="00347DCC">
        <w:t xml:space="preserve">    </w:t>
      </w:r>
      <w:r w:rsidR="00CE7ECE">
        <w:t xml:space="preserve">   </w:t>
      </w:r>
      <w:r w:rsidR="004C4FDC">
        <w:t xml:space="preserve">Mgr. Ľubomír </w:t>
      </w:r>
      <w:proofErr w:type="spellStart"/>
      <w:r w:rsidR="004C4FDC">
        <w:t>Štefaňák</w:t>
      </w:r>
      <w:proofErr w:type="spellEnd"/>
      <w:r>
        <w:t xml:space="preserve"> člen predstavenstva</w:t>
      </w:r>
    </w:p>
    <w:p w:rsidR="00F943B9" w:rsidRDefault="00F943B9" w:rsidP="004D3B4A">
      <w:pPr>
        <w:pStyle w:val="Zkladntext"/>
      </w:pPr>
      <w:r>
        <w:tab/>
      </w:r>
      <w:r>
        <w:tab/>
      </w:r>
      <w:r>
        <w:tab/>
      </w:r>
      <w:r w:rsidR="00347DCC">
        <w:t xml:space="preserve"> </w:t>
      </w:r>
    </w:p>
    <w:p w:rsidR="00347DCC" w:rsidRDefault="00347DCC" w:rsidP="004D3B4A">
      <w:pPr>
        <w:pStyle w:val="Zkladntext"/>
      </w:pPr>
      <w:r>
        <w:tab/>
      </w:r>
      <w:r>
        <w:tab/>
      </w:r>
      <w:r>
        <w:tab/>
      </w:r>
    </w:p>
    <w:p w:rsidR="004D3B4A" w:rsidRDefault="004D3B4A" w:rsidP="004D3B4A">
      <w:pPr>
        <w:pStyle w:val="Zkladntext"/>
      </w:pPr>
      <w:r>
        <w:t>Dozorná rada</w:t>
      </w:r>
      <w:r>
        <w:tab/>
      </w:r>
      <w:r>
        <w:tab/>
      </w:r>
      <w:r w:rsidR="00641A25">
        <w:t>Miriam Slimáková</w:t>
      </w:r>
      <w:r>
        <w:t xml:space="preserve">  </w:t>
      </w:r>
      <w:r w:rsidRPr="00DF1C9A">
        <w:t>predseda</w:t>
      </w:r>
      <w:r w:rsidR="0061214F">
        <w:t xml:space="preserve"> DR</w:t>
      </w:r>
    </w:p>
    <w:p w:rsidR="004D3B4A" w:rsidRDefault="0061214F" w:rsidP="004D3B4A">
      <w:pPr>
        <w:pStyle w:val="Zkladntext"/>
      </w:pPr>
      <w:r>
        <w:tab/>
      </w:r>
      <w:r>
        <w:tab/>
      </w:r>
      <w:r>
        <w:tab/>
      </w:r>
      <w:r w:rsidR="005D2149">
        <w:t>I</w:t>
      </w:r>
      <w:r w:rsidR="00F943B9">
        <w:t xml:space="preserve">ng. Jozef </w:t>
      </w:r>
      <w:proofErr w:type="spellStart"/>
      <w:r w:rsidR="00F943B9">
        <w:t>Jendruch</w:t>
      </w:r>
      <w:proofErr w:type="spellEnd"/>
      <w:r w:rsidR="00F943B9">
        <w:t xml:space="preserve">, </w:t>
      </w:r>
      <w:proofErr w:type="spellStart"/>
      <w:r w:rsidR="00F943B9">
        <w:t>PhD</w:t>
      </w:r>
      <w:proofErr w:type="spellEnd"/>
      <w:r w:rsidR="00F943B9">
        <w:t xml:space="preserve"> člen DR</w:t>
      </w:r>
      <w:r>
        <w:t xml:space="preserve"> </w:t>
      </w:r>
    </w:p>
    <w:p w:rsidR="004D3B4A" w:rsidRDefault="0061214F" w:rsidP="004D3B4A">
      <w:pPr>
        <w:pStyle w:val="Zkladntext"/>
      </w:pPr>
      <w:r>
        <w:tab/>
      </w:r>
      <w:r>
        <w:tab/>
      </w:r>
      <w:r>
        <w:tab/>
      </w:r>
      <w:r w:rsidR="00F943B9">
        <w:t>Mgr. Pavol Ondrík člen DR</w:t>
      </w:r>
      <w:r>
        <w:t xml:space="preserve"> </w:t>
      </w:r>
    </w:p>
    <w:p w:rsidR="00CD6244" w:rsidRDefault="008F0037" w:rsidP="005D2149">
      <w:pPr>
        <w:pStyle w:val="Zkladntext"/>
      </w:pPr>
      <w:r>
        <w:tab/>
      </w:r>
      <w:r>
        <w:tab/>
      </w:r>
    </w:p>
    <w:p w:rsidR="005D2149" w:rsidRDefault="005D2149" w:rsidP="005D2149">
      <w:pPr>
        <w:pStyle w:val="Zkladntext"/>
        <w:rPr>
          <w:szCs w:val="18"/>
        </w:rPr>
      </w:pPr>
    </w:p>
    <w:p w:rsidR="002D2C39" w:rsidRDefault="00CD6244">
      <w:pPr>
        <w:ind w:left="426"/>
        <w:jc w:val="both"/>
        <w:rPr>
          <w:sz w:val="18"/>
          <w:szCs w:val="18"/>
        </w:rPr>
      </w:pPr>
      <w:r>
        <w:rPr>
          <w:sz w:val="18"/>
          <w:szCs w:val="18"/>
        </w:rPr>
        <w:t>S</w:t>
      </w:r>
      <w:r w:rsidR="005D2149">
        <w:rPr>
          <w:sz w:val="18"/>
          <w:szCs w:val="18"/>
        </w:rPr>
        <w:t>poločnosť emitovala 100.1</w:t>
      </w:r>
      <w:r>
        <w:rPr>
          <w:sz w:val="18"/>
          <w:szCs w:val="18"/>
        </w:rPr>
        <w:t xml:space="preserve">60 ks akcií na doručiteľa v menovitej hodnote </w:t>
      </w:r>
      <w:r w:rsidR="00D27659">
        <w:rPr>
          <w:sz w:val="18"/>
          <w:szCs w:val="18"/>
        </w:rPr>
        <w:t>2</w:t>
      </w:r>
      <w:r w:rsidR="006E00BC">
        <w:rPr>
          <w:sz w:val="18"/>
          <w:szCs w:val="18"/>
        </w:rPr>
        <w:t>0</w:t>
      </w:r>
      <w:r>
        <w:rPr>
          <w:sz w:val="18"/>
          <w:szCs w:val="18"/>
        </w:rPr>
        <w:t xml:space="preserve"> EUR a 7 akcií na meno </w:t>
      </w:r>
      <w:r w:rsidR="002D2C39">
        <w:rPr>
          <w:sz w:val="18"/>
          <w:szCs w:val="18"/>
        </w:rPr>
        <w:t xml:space="preserve"> s počtom 70 hlasov v menovitej hodnote </w:t>
      </w:r>
      <w:r w:rsidR="002B5CAC">
        <w:rPr>
          <w:sz w:val="18"/>
          <w:szCs w:val="18"/>
        </w:rPr>
        <w:t>272</w:t>
      </w:r>
      <w:r w:rsidR="002D2C39">
        <w:rPr>
          <w:sz w:val="18"/>
          <w:szCs w:val="18"/>
        </w:rPr>
        <w:t xml:space="preserve"> EUR  </w:t>
      </w:r>
      <w:r w:rsidR="002722A2">
        <w:rPr>
          <w:sz w:val="18"/>
          <w:szCs w:val="18"/>
        </w:rPr>
        <w:t xml:space="preserve">na 1. </w:t>
      </w:r>
      <w:r>
        <w:rPr>
          <w:sz w:val="18"/>
          <w:szCs w:val="18"/>
        </w:rPr>
        <w:t>A</w:t>
      </w:r>
      <w:r w:rsidR="002722A2">
        <w:rPr>
          <w:sz w:val="18"/>
          <w:szCs w:val="18"/>
        </w:rPr>
        <w:t>kciu</w:t>
      </w:r>
      <w:r>
        <w:rPr>
          <w:sz w:val="18"/>
          <w:szCs w:val="18"/>
        </w:rPr>
        <w:t xml:space="preserve">. </w:t>
      </w:r>
    </w:p>
    <w:p w:rsidR="00076528" w:rsidRDefault="00076528">
      <w:pPr>
        <w:ind w:left="426"/>
        <w:jc w:val="both"/>
        <w:rPr>
          <w:sz w:val="18"/>
          <w:szCs w:val="18"/>
        </w:rPr>
      </w:pPr>
    </w:p>
    <w:p w:rsidR="002D2C39" w:rsidRDefault="002D2C39">
      <w:pPr>
        <w:ind w:left="426"/>
        <w:jc w:val="both"/>
        <w:rPr>
          <w:sz w:val="18"/>
          <w:szCs w:val="18"/>
        </w:rPr>
      </w:pPr>
      <w:r>
        <w:rPr>
          <w:sz w:val="18"/>
          <w:szCs w:val="18"/>
        </w:rPr>
        <w:t xml:space="preserve">Všetky rozhodnutia prijímané na valnom zhromaždení musia schváliť </w:t>
      </w:r>
      <w:r w:rsidR="00243C4F">
        <w:rPr>
          <w:sz w:val="18"/>
          <w:szCs w:val="18"/>
        </w:rPr>
        <w:t xml:space="preserve">v samostatnom hlasovaní </w:t>
      </w:r>
      <w:r>
        <w:rPr>
          <w:sz w:val="18"/>
          <w:szCs w:val="18"/>
        </w:rPr>
        <w:t xml:space="preserve">majitelia všetkých druhov akcií v zmysle pravidiel rozhodovania </w:t>
      </w:r>
      <w:r w:rsidR="002722A2">
        <w:rPr>
          <w:sz w:val="18"/>
          <w:szCs w:val="18"/>
        </w:rPr>
        <w:t xml:space="preserve">valného zhromaždenia </w:t>
      </w:r>
      <w:r>
        <w:rPr>
          <w:sz w:val="18"/>
          <w:szCs w:val="18"/>
        </w:rPr>
        <w:t>schváleného v platných stanovách spoločnosti.</w:t>
      </w:r>
    </w:p>
    <w:p w:rsidR="002D2C39" w:rsidRDefault="002D2C39">
      <w:pPr>
        <w:ind w:left="426"/>
        <w:jc w:val="both"/>
        <w:rPr>
          <w:sz w:val="18"/>
          <w:szCs w:val="18"/>
        </w:rPr>
      </w:pPr>
    </w:p>
    <w:p w:rsidR="004D3B4A" w:rsidRDefault="004D3B4A" w:rsidP="004D3B4A">
      <w:pPr>
        <w:pStyle w:val="Zkladntext"/>
      </w:pPr>
    </w:p>
    <w:p w:rsidR="004D3B4A" w:rsidRDefault="004D3B4A" w:rsidP="00085ECF">
      <w:pPr>
        <w:pStyle w:val="Nadpis1"/>
        <w:numPr>
          <w:ilvl w:val="0"/>
          <w:numId w:val="37"/>
        </w:numPr>
        <w:spacing w:before="120" w:after="60"/>
        <w:ind w:left="360"/>
      </w:pPr>
      <w:bookmarkStart w:id="6" w:name="_Toc530739899"/>
      <w:r>
        <w:t>Informácie o</w:t>
      </w:r>
      <w:r w:rsidR="002D2C39">
        <w:t xml:space="preserve">  </w:t>
      </w:r>
      <w:r w:rsidR="004659D3">
        <w:t>prijatých postupoch</w:t>
      </w:r>
      <w:r>
        <w:t xml:space="preserve">  </w:t>
      </w:r>
      <w:bookmarkEnd w:id="6"/>
    </w:p>
    <w:p w:rsidR="004D3B4A" w:rsidRDefault="004D3B4A" w:rsidP="004D3B4A">
      <w:pPr>
        <w:pStyle w:val="Zkladntext"/>
      </w:pPr>
    </w:p>
    <w:p w:rsidR="004D3B4A" w:rsidRDefault="004D3B4A" w:rsidP="00251BF2">
      <w:pPr>
        <w:pStyle w:val="Pismenka"/>
        <w:tabs>
          <w:tab w:val="clear" w:pos="426"/>
        </w:tabs>
        <w:ind w:left="426"/>
      </w:pPr>
      <w:r>
        <w:t>Východiská pre zostavenie účtovnej závierky</w:t>
      </w:r>
    </w:p>
    <w:p w:rsidR="004D3B4A" w:rsidRDefault="004D3B4A" w:rsidP="004D3B4A">
      <w:pPr>
        <w:pStyle w:val="Zkladntext"/>
        <w:ind w:left="450"/>
      </w:pPr>
      <w:r>
        <w:t>Účtovná závierka bola zostavená za pre</w:t>
      </w:r>
      <w:r w:rsidR="003E675C">
        <w:t>dpokladu nepretržitého trvania s</w:t>
      </w:r>
      <w:r>
        <w:t>poločnosti (</w:t>
      </w:r>
      <w:proofErr w:type="spellStart"/>
      <w:r>
        <w:t>going</w:t>
      </w:r>
      <w:proofErr w:type="spellEnd"/>
      <w:r>
        <w:t xml:space="preserve"> </w:t>
      </w:r>
      <w:proofErr w:type="spellStart"/>
      <w:r>
        <w:t>concern</w:t>
      </w:r>
      <w:proofErr w:type="spellEnd"/>
      <w:r>
        <w:t>).</w:t>
      </w:r>
    </w:p>
    <w:p w:rsidR="004D3B4A" w:rsidRDefault="004D3B4A" w:rsidP="004D3B4A">
      <w:pPr>
        <w:pStyle w:val="Zkladntext"/>
        <w:ind w:left="450"/>
      </w:pPr>
    </w:p>
    <w:p w:rsidR="004D3B4A" w:rsidRDefault="004D3B4A" w:rsidP="004D3B4A">
      <w:pPr>
        <w:pStyle w:val="Zkladntext"/>
        <w:ind w:left="450"/>
      </w:pPr>
      <w:r w:rsidRPr="00194BFD">
        <w:t xml:space="preserve">Účtovné metódy a všeobecné účtovné zásady </w:t>
      </w:r>
      <w:r w:rsidR="00727DD4">
        <w:t>sú</w:t>
      </w:r>
      <w:r w:rsidRPr="00194BFD">
        <w:t xml:space="preserve"> účtovnou jednotkou</w:t>
      </w:r>
      <w:r w:rsidR="009E65D7">
        <w:t xml:space="preserve"> konzistentne</w:t>
      </w:r>
      <w:r w:rsidRPr="00194BFD">
        <w:t xml:space="preserve"> aplikované</w:t>
      </w:r>
    </w:p>
    <w:p w:rsidR="004D3B4A" w:rsidRDefault="004D3B4A" w:rsidP="004D3B4A">
      <w:pPr>
        <w:pStyle w:val="Zkladntext"/>
        <w:ind w:left="450"/>
      </w:pPr>
    </w:p>
    <w:p w:rsidR="00727DD4" w:rsidRDefault="00727DD4" w:rsidP="006D3D0B">
      <w:pPr>
        <w:pStyle w:val="Zkladntext"/>
        <w:ind w:left="709"/>
      </w:pPr>
    </w:p>
    <w:p w:rsidR="004D3B4A" w:rsidRDefault="004D3B4A" w:rsidP="00251BF2">
      <w:pPr>
        <w:pStyle w:val="Pismenka"/>
        <w:tabs>
          <w:tab w:val="clear" w:pos="426"/>
        </w:tabs>
        <w:ind w:left="426"/>
      </w:pPr>
      <w:r>
        <w:t>Dlhodobý nehmotný majetok a dlhodobý hmotný majetok</w:t>
      </w:r>
    </w:p>
    <w:p w:rsidR="004D3B4A" w:rsidRDefault="004D3B4A" w:rsidP="004D3B4A">
      <w:pPr>
        <w:pStyle w:val="Zkladntext"/>
      </w:pPr>
      <w:r>
        <w:t xml:space="preserve">Dlhodobý majetok nakupovaný sa oceňuje obstarávacou cenou, ktorá zahŕňa cenu obstarania a náklady súvisiace s obstaraním (clo, prepravu, montáž, poistné a pod.). </w:t>
      </w:r>
    </w:p>
    <w:p w:rsidR="004D3B4A" w:rsidRDefault="004D3B4A" w:rsidP="004D3B4A">
      <w:pPr>
        <w:pStyle w:val="Zkladntext"/>
      </w:pPr>
    </w:p>
    <w:p w:rsidR="004D3B4A" w:rsidRDefault="004D3B4A" w:rsidP="004D3B4A">
      <w:pPr>
        <w:pStyle w:val="Zkladntext"/>
      </w:pPr>
      <w:r>
        <w:t>Súčasťou obstarávacej ceny dlhodobého hmotného majetku od 1. januára 2003 nie sú úroky z cudzích zdrojov ani realizované kurzové rozdiely, ktoré vznikli do momentu uvedenia dlhodobého majetku do používania.</w:t>
      </w:r>
    </w:p>
    <w:p w:rsidR="004D3B4A" w:rsidRDefault="004D3B4A" w:rsidP="004D3B4A">
      <w:pPr>
        <w:pStyle w:val="Zkladntext"/>
      </w:pPr>
    </w:p>
    <w:p w:rsidR="004D3B4A" w:rsidRDefault="004D3B4A" w:rsidP="004D3B4A">
      <w:pPr>
        <w:pStyle w:val="Zkladntext"/>
      </w:pPr>
      <w:r>
        <w:t>Súčasťou obstarávacej ceny dlhodobého nehmotného majetku nie sú od 1. júla 2010 úroky z cudzích zdrojov, ktoré vznikli do momentu zaradenia dlhodobého nehmotného majetku do používania.</w:t>
      </w:r>
    </w:p>
    <w:p w:rsidR="004D3B4A" w:rsidRDefault="004D3B4A" w:rsidP="004D3B4A">
      <w:pPr>
        <w:pStyle w:val="Zkladntext"/>
      </w:pPr>
    </w:p>
    <w:p w:rsidR="004D3B4A" w:rsidRDefault="004D3B4A" w:rsidP="004D3B4A">
      <w:pPr>
        <w:pStyle w:val="Zkladntext"/>
      </w:pPr>
      <w:r>
        <w:t xml:space="preserve">Dlhodobý majetok vytvorený vlastnou činnosťou sa oceňuje vlastnými nákladmi. Vlastnými nákladmi sú všetky priame náklady vynaložené na výrobu alebo inú činnosť a nepriame náklady, ktoré sa vzťahujú na výrobu alebo inú činnosť. </w:t>
      </w:r>
    </w:p>
    <w:p w:rsidR="0058479C" w:rsidRDefault="0058479C" w:rsidP="004D3B4A">
      <w:pPr>
        <w:pStyle w:val="Zkladntext"/>
      </w:pPr>
    </w:p>
    <w:p w:rsidR="004D3B4A" w:rsidRDefault="004D3B4A" w:rsidP="004D3B4A">
      <w:pPr>
        <w:pStyle w:val="Zkladntext"/>
      </w:pPr>
      <w:r>
        <w:t xml:space="preserve">Odpisy dlhodobého nehmotného majetku sú stanovené vychádzajúc z predpokladanej doby jeho používania a predpokladaného priebehu jeho opotrebenia. Odpisovať sa začína prvým dňom mesiaca </w:t>
      </w:r>
      <w:r w:rsidR="008500D0">
        <w:t>v ktorom bol</w:t>
      </w:r>
      <w:r>
        <w:t xml:space="preserve"> uvedení dlhodob</w:t>
      </w:r>
      <w:r w:rsidR="008500D0">
        <w:t>ý</w:t>
      </w:r>
      <w:r>
        <w:t xml:space="preserve"> majet</w:t>
      </w:r>
      <w:r w:rsidR="008500D0">
        <w:t>o</w:t>
      </w:r>
      <w:r>
        <w:t xml:space="preserve">k do používania. Drobný dlhodobý nehmotný majetok, ktorého obstarávacia cena (resp. vlastné náklady) je </w:t>
      </w:r>
      <w:r w:rsidRPr="00F7710B">
        <w:t>2</w:t>
      </w:r>
      <w:r w:rsidRPr="00DF04B4">
        <w:t> </w:t>
      </w:r>
      <w:r>
        <w:t>400</w:t>
      </w:r>
      <w:r w:rsidRPr="00DF04B4">
        <w:t xml:space="preserve"> EUR</w:t>
      </w:r>
      <w:r>
        <w:t xml:space="preserve"> a nižšia, sa odpisuje jednorazovo </w:t>
      </w:r>
      <w:r w:rsidR="008500D0">
        <w:t xml:space="preserve">do nákladov </w:t>
      </w:r>
      <w:r>
        <w:t>pri uvedení do používania. Predpokladaná doba používania, metóda odpisovania a odpisová sadzba sú uvedené v nasledujúcej tabuľke:</w:t>
      </w:r>
    </w:p>
    <w:p w:rsidR="004D3B4A" w:rsidRDefault="004D3B4A" w:rsidP="004D3B4A">
      <w:pPr>
        <w:pStyle w:val="Zkladntext"/>
      </w:pPr>
    </w:p>
    <w:tbl>
      <w:tblPr>
        <w:tblW w:w="0" w:type="auto"/>
        <w:tblInd w:w="456" w:type="dxa"/>
        <w:tblCellMar>
          <w:left w:w="30" w:type="dxa"/>
          <w:right w:w="30" w:type="dxa"/>
        </w:tblCellMar>
        <w:tblLook w:val="0000" w:firstRow="0" w:lastRow="0" w:firstColumn="0" w:lastColumn="0" w:noHBand="0" w:noVBand="0"/>
      </w:tblPr>
      <w:tblGrid>
        <w:gridCol w:w="2871"/>
        <w:gridCol w:w="412"/>
        <w:gridCol w:w="1539"/>
        <w:gridCol w:w="222"/>
        <w:gridCol w:w="1807"/>
        <w:gridCol w:w="222"/>
        <w:gridCol w:w="1683"/>
      </w:tblGrid>
      <w:tr w:rsidR="004D3B4A" w:rsidTr="009E65D7">
        <w:trPr>
          <w:trHeight w:val="250"/>
        </w:trPr>
        <w:tc>
          <w:tcPr>
            <w:tcW w:w="3315" w:type="dxa"/>
            <w:gridSpan w:val="2"/>
          </w:tcPr>
          <w:p w:rsidR="004D3B4A" w:rsidRDefault="004D3B4A" w:rsidP="0000290B">
            <w:pPr>
              <w:pStyle w:val="Tabulka"/>
            </w:pPr>
            <w:r>
              <w:br w:type="page"/>
            </w:r>
          </w:p>
        </w:tc>
        <w:tc>
          <w:tcPr>
            <w:tcW w:w="1545" w:type="dxa"/>
          </w:tcPr>
          <w:p w:rsidR="004D3B4A" w:rsidRDefault="004D3B4A" w:rsidP="0000290B">
            <w:pPr>
              <w:pStyle w:val="Tabulka"/>
              <w:jc w:val="center"/>
            </w:pPr>
            <w:r>
              <w:t>Predpokladaná</w:t>
            </w:r>
          </w:p>
        </w:tc>
        <w:tc>
          <w:tcPr>
            <w:tcW w:w="222" w:type="dxa"/>
          </w:tcPr>
          <w:p w:rsidR="004D3B4A" w:rsidRDefault="004D3B4A" w:rsidP="0000290B">
            <w:pPr>
              <w:pStyle w:val="Tabulka"/>
              <w:jc w:val="center"/>
            </w:pPr>
          </w:p>
        </w:tc>
        <w:tc>
          <w:tcPr>
            <w:tcW w:w="1817" w:type="dxa"/>
          </w:tcPr>
          <w:p w:rsidR="004D3B4A" w:rsidRDefault="004D3B4A" w:rsidP="0000290B">
            <w:pPr>
              <w:pStyle w:val="Tabulka"/>
              <w:jc w:val="center"/>
            </w:pPr>
            <w:r>
              <w:t>Metóda</w:t>
            </w:r>
          </w:p>
        </w:tc>
        <w:tc>
          <w:tcPr>
            <w:tcW w:w="222" w:type="dxa"/>
          </w:tcPr>
          <w:p w:rsidR="004D3B4A" w:rsidRDefault="004D3B4A" w:rsidP="0000290B">
            <w:pPr>
              <w:pStyle w:val="Tabulka"/>
              <w:jc w:val="center"/>
            </w:pPr>
          </w:p>
        </w:tc>
        <w:tc>
          <w:tcPr>
            <w:tcW w:w="1696" w:type="dxa"/>
          </w:tcPr>
          <w:p w:rsidR="004D3B4A" w:rsidRDefault="004D3B4A" w:rsidP="0000290B">
            <w:pPr>
              <w:pStyle w:val="Tabulka"/>
              <w:jc w:val="center"/>
            </w:pPr>
            <w:r>
              <w:t>Ročná odpisová</w:t>
            </w:r>
          </w:p>
        </w:tc>
      </w:tr>
      <w:tr w:rsidR="005B316E" w:rsidTr="009E65D7">
        <w:trPr>
          <w:trHeight w:val="250"/>
        </w:trPr>
        <w:tc>
          <w:tcPr>
            <w:tcW w:w="2899" w:type="dxa"/>
            <w:tcBorders>
              <w:bottom w:val="single" w:sz="4" w:space="0" w:color="auto"/>
            </w:tcBorders>
          </w:tcPr>
          <w:p w:rsidR="004D3B4A" w:rsidRDefault="004D3B4A" w:rsidP="0000290B">
            <w:pPr>
              <w:pStyle w:val="Tabulka"/>
            </w:pPr>
          </w:p>
        </w:tc>
        <w:tc>
          <w:tcPr>
            <w:tcW w:w="416" w:type="dxa"/>
            <w:tcBorders>
              <w:bottom w:val="single" w:sz="4" w:space="0" w:color="auto"/>
            </w:tcBorders>
          </w:tcPr>
          <w:p w:rsidR="004D3B4A" w:rsidRDefault="004D3B4A" w:rsidP="0000290B">
            <w:pPr>
              <w:pStyle w:val="Tabulka"/>
            </w:pPr>
          </w:p>
        </w:tc>
        <w:tc>
          <w:tcPr>
            <w:tcW w:w="1545" w:type="dxa"/>
            <w:tcBorders>
              <w:bottom w:val="single" w:sz="4" w:space="0" w:color="auto"/>
            </w:tcBorders>
          </w:tcPr>
          <w:p w:rsidR="004D3B4A" w:rsidRDefault="004D3B4A" w:rsidP="0000290B">
            <w:pPr>
              <w:pStyle w:val="Tabulka"/>
              <w:jc w:val="center"/>
            </w:pPr>
            <w:r>
              <w:t>doba používania</w:t>
            </w:r>
            <w:r>
              <w:br/>
              <w:t>v rokoch</w:t>
            </w:r>
          </w:p>
        </w:tc>
        <w:tc>
          <w:tcPr>
            <w:tcW w:w="222" w:type="dxa"/>
            <w:tcBorders>
              <w:bottom w:val="single" w:sz="4" w:space="0" w:color="auto"/>
            </w:tcBorders>
          </w:tcPr>
          <w:p w:rsidR="004D3B4A" w:rsidRDefault="004D3B4A" w:rsidP="0000290B">
            <w:pPr>
              <w:pStyle w:val="Tabulka"/>
              <w:jc w:val="center"/>
            </w:pPr>
          </w:p>
        </w:tc>
        <w:tc>
          <w:tcPr>
            <w:tcW w:w="1817" w:type="dxa"/>
            <w:tcBorders>
              <w:bottom w:val="single" w:sz="4" w:space="0" w:color="auto"/>
            </w:tcBorders>
          </w:tcPr>
          <w:p w:rsidR="004D3B4A" w:rsidRDefault="004D3B4A" w:rsidP="0000290B">
            <w:pPr>
              <w:pStyle w:val="Tabulka"/>
              <w:jc w:val="center"/>
            </w:pPr>
            <w:r>
              <w:t>odpisovania</w:t>
            </w:r>
          </w:p>
        </w:tc>
        <w:tc>
          <w:tcPr>
            <w:tcW w:w="222" w:type="dxa"/>
            <w:tcBorders>
              <w:bottom w:val="single" w:sz="4" w:space="0" w:color="auto"/>
            </w:tcBorders>
          </w:tcPr>
          <w:p w:rsidR="004D3B4A" w:rsidRDefault="004D3B4A" w:rsidP="0000290B">
            <w:pPr>
              <w:pStyle w:val="Tabulka"/>
              <w:jc w:val="center"/>
            </w:pPr>
          </w:p>
        </w:tc>
        <w:tc>
          <w:tcPr>
            <w:tcW w:w="1696" w:type="dxa"/>
            <w:tcBorders>
              <w:bottom w:val="single" w:sz="4" w:space="0" w:color="auto"/>
            </w:tcBorders>
          </w:tcPr>
          <w:p w:rsidR="004D3B4A" w:rsidRDefault="004D3B4A" w:rsidP="0000290B">
            <w:pPr>
              <w:pStyle w:val="Tabulka"/>
              <w:jc w:val="center"/>
            </w:pPr>
            <w:r>
              <w:t>sadzba v %</w:t>
            </w:r>
          </w:p>
        </w:tc>
      </w:tr>
      <w:tr w:rsidR="004D3B4A" w:rsidTr="009E65D7">
        <w:trPr>
          <w:trHeight w:val="250"/>
        </w:trPr>
        <w:tc>
          <w:tcPr>
            <w:tcW w:w="3315" w:type="dxa"/>
            <w:gridSpan w:val="2"/>
          </w:tcPr>
          <w:p w:rsidR="004D3B4A" w:rsidRDefault="004D3B4A" w:rsidP="0000290B">
            <w:pPr>
              <w:pStyle w:val="Tabulka"/>
            </w:pPr>
            <w:r>
              <w:t>Softvér</w:t>
            </w:r>
          </w:p>
        </w:tc>
        <w:tc>
          <w:tcPr>
            <w:tcW w:w="1545" w:type="dxa"/>
          </w:tcPr>
          <w:p w:rsidR="004D3B4A" w:rsidRDefault="004D3B4A" w:rsidP="0000290B">
            <w:pPr>
              <w:pStyle w:val="Tabulka"/>
              <w:jc w:val="center"/>
            </w:pPr>
            <w:r>
              <w:t>4</w:t>
            </w:r>
          </w:p>
        </w:tc>
        <w:tc>
          <w:tcPr>
            <w:tcW w:w="222" w:type="dxa"/>
          </w:tcPr>
          <w:p w:rsidR="004D3B4A" w:rsidRDefault="004D3B4A" w:rsidP="0000290B">
            <w:pPr>
              <w:pStyle w:val="Tabulka"/>
              <w:jc w:val="center"/>
            </w:pPr>
          </w:p>
        </w:tc>
        <w:tc>
          <w:tcPr>
            <w:tcW w:w="1817" w:type="dxa"/>
          </w:tcPr>
          <w:p w:rsidR="004D3B4A" w:rsidRDefault="004D3B4A" w:rsidP="0000290B">
            <w:pPr>
              <w:pStyle w:val="Tabulka"/>
              <w:jc w:val="center"/>
            </w:pPr>
            <w:r>
              <w:t>lineárna</w:t>
            </w:r>
          </w:p>
        </w:tc>
        <w:tc>
          <w:tcPr>
            <w:tcW w:w="222" w:type="dxa"/>
          </w:tcPr>
          <w:p w:rsidR="004D3B4A" w:rsidRDefault="004D3B4A" w:rsidP="0000290B">
            <w:pPr>
              <w:pStyle w:val="Tabulka"/>
              <w:jc w:val="center"/>
            </w:pPr>
          </w:p>
        </w:tc>
        <w:tc>
          <w:tcPr>
            <w:tcW w:w="1696" w:type="dxa"/>
          </w:tcPr>
          <w:p w:rsidR="004D3B4A" w:rsidRDefault="004D3B4A" w:rsidP="0000290B">
            <w:pPr>
              <w:pStyle w:val="Tabulka"/>
              <w:jc w:val="center"/>
            </w:pPr>
            <w:r>
              <w:t>25</w:t>
            </w:r>
          </w:p>
        </w:tc>
      </w:tr>
      <w:tr w:rsidR="004D3B4A" w:rsidTr="009E65D7">
        <w:tblPrEx>
          <w:tblCellMar>
            <w:left w:w="108" w:type="dxa"/>
            <w:right w:w="108" w:type="dxa"/>
          </w:tblCellMar>
        </w:tblPrEx>
        <w:trPr>
          <w:trHeight w:val="245"/>
        </w:trPr>
        <w:tc>
          <w:tcPr>
            <w:tcW w:w="3315" w:type="dxa"/>
            <w:gridSpan w:val="2"/>
          </w:tcPr>
          <w:p w:rsidR="004D3B4A" w:rsidRDefault="004D3B4A" w:rsidP="0000290B">
            <w:pPr>
              <w:pStyle w:val="Tabulka"/>
              <w:ind w:hanging="84"/>
            </w:pPr>
            <w:r>
              <w:t>Drobný dlhodobý nehmotný majetok</w:t>
            </w:r>
          </w:p>
        </w:tc>
        <w:tc>
          <w:tcPr>
            <w:tcW w:w="1545" w:type="dxa"/>
          </w:tcPr>
          <w:p w:rsidR="004D3B4A" w:rsidRDefault="004D3B4A" w:rsidP="0000290B">
            <w:pPr>
              <w:pStyle w:val="Tabulka"/>
              <w:jc w:val="center"/>
            </w:pPr>
            <w:r>
              <w:t>rôzna</w:t>
            </w:r>
          </w:p>
        </w:tc>
        <w:tc>
          <w:tcPr>
            <w:tcW w:w="222" w:type="dxa"/>
          </w:tcPr>
          <w:p w:rsidR="004D3B4A" w:rsidRDefault="004D3B4A" w:rsidP="0000290B">
            <w:pPr>
              <w:pStyle w:val="Tabulka"/>
              <w:jc w:val="center"/>
            </w:pPr>
          </w:p>
        </w:tc>
        <w:tc>
          <w:tcPr>
            <w:tcW w:w="1817" w:type="dxa"/>
          </w:tcPr>
          <w:p w:rsidR="004D3B4A" w:rsidRDefault="004D3B4A" w:rsidP="0000290B">
            <w:pPr>
              <w:pStyle w:val="Tabulka"/>
              <w:jc w:val="center"/>
            </w:pPr>
            <w:r>
              <w:t>jednorazový odpis</w:t>
            </w:r>
          </w:p>
        </w:tc>
        <w:tc>
          <w:tcPr>
            <w:tcW w:w="222" w:type="dxa"/>
          </w:tcPr>
          <w:p w:rsidR="004D3B4A" w:rsidRDefault="004D3B4A" w:rsidP="0000290B">
            <w:pPr>
              <w:pStyle w:val="Tabulka"/>
              <w:jc w:val="center"/>
            </w:pPr>
          </w:p>
        </w:tc>
        <w:tc>
          <w:tcPr>
            <w:tcW w:w="1696" w:type="dxa"/>
          </w:tcPr>
          <w:p w:rsidR="004D3B4A" w:rsidRDefault="004D3B4A" w:rsidP="0000290B">
            <w:pPr>
              <w:pStyle w:val="Tabulka"/>
              <w:jc w:val="center"/>
            </w:pPr>
            <w:r>
              <w:t>100</w:t>
            </w:r>
          </w:p>
        </w:tc>
      </w:tr>
    </w:tbl>
    <w:p w:rsidR="004D3B4A" w:rsidRDefault="004D3B4A" w:rsidP="004D3B4A">
      <w:pPr>
        <w:pStyle w:val="Zkladntext"/>
      </w:pPr>
      <w:r>
        <w:t>Odpisy dlhodobého hmotného majetku sú stanovené vychádzajúc z predpokladanej doby jeho používania a predpokladaného priebehu jeho opotrebenia. Odpisovať sa začína prvým dňom</w:t>
      </w:r>
      <w:r w:rsidR="003D306A">
        <w:t xml:space="preserve"> </w:t>
      </w:r>
      <w:r>
        <w:t xml:space="preserve"> mesiaca </w:t>
      </w:r>
      <w:r w:rsidR="008500D0">
        <w:t>v ktorom bol dlhodobý majetok</w:t>
      </w:r>
      <w:r>
        <w:t xml:space="preserve"> uveden</w:t>
      </w:r>
      <w:r w:rsidR="009E65D7">
        <w:t>ý</w:t>
      </w:r>
      <w:r>
        <w:t xml:space="preserve"> do používania. Drobný dlhodobý hmotný majetok, ktorého obstarávacia ce</w:t>
      </w:r>
      <w:r w:rsidR="009E65D7">
        <w:t xml:space="preserve">na (resp. vlastné náklady) je 1 </w:t>
      </w:r>
      <w:r>
        <w:t xml:space="preserve">700 EUR a nižšia, sa odpisuje jednorazovo </w:t>
      </w:r>
      <w:r w:rsidR="008500D0">
        <w:t xml:space="preserve">do nákladov </w:t>
      </w:r>
      <w:r>
        <w:t>pri uvedení do používania. Pozemky sa neodpisujú. Predpokladaná doba používania, metóda odpisovania a odpisová sadzba sú uvedené v nasledujúcej tabuľke:</w:t>
      </w:r>
    </w:p>
    <w:p w:rsidR="004D3B4A" w:rsidRDefault="004D3B4A" w:rsidP="004D3B4A">
      <w:pPr>
        <w:pStyle w:val="Zkladntext"/>
      </w:pPr>
    </w:p>
    <w:tbl>
      <w:tblPr>
        <w:tblW w:w="0" w:type="auto"/>
        <w:tblInd w:w="456" w:type="dxa"/>
        <w:tblLayout w:type="fixed"/>
        <w:tblCellMar>
          <w:left w:w="30" w:type="dxa"/>
          <w:right w:w="30" w:type="dxa"/>
        </w:tblCellMar>
        <w:tblLook w:val="0000" w:firstRow="0" w:lastRow="0" w:firstColumn="0" w:lastColumn="0" w:noHBand="0" w:noVBand="0"/>
      </w:tblPr>
      <w:tblGrid>
        <w:gridCol w:w="2976"/>
        <w:gridCol w:w="142"/>
        <w:gridCol w:w="1985"/>
        <w:gridCol w:w="141"/>
        <w:gridCol w:w="1701"/>
        <w:gridCol w:w="142"/>
        <w:gridCol w:w="1701"/>
      </w:tblGrid>
      <w:tr w:rsidR="004D3B4A" w:rsidTr="0000290B">
        <w:trPr>
          <w:trHeight w:val="250"/>
        </w:trPr>
        <w:tc>
          <w:tcPr>
            <w:tcW w:w="3118" w:type="dxa"/>
            <w:gridSpan w:val="2"/>
          </w:tcPr>
          <w:p w:rsidR="004D3B4A" w:rsidRDefault="004D3B4A" w:rsidP="0000290B">
            <w:pPr>
              <w:pStyle w:val="Tabulka"/>
            </w:pPr>
          </w:p>
        </w:tc>
        <w:tc>
          <w:tcPr>
            <w:tcW w:w="1985" w:type="dxa"/>
          </w:tcPr>
          <w:p w:rsidR="004D3B4A" w:rsidRDefault="004D3B4A" w:rsidP="0000290B">
            <w:pPr>
              <w:pStyle w:val="Tabulka"/>
              <w:jc w:val="center"/>
            </w:pPr>
            <w:r>
              <w:t>Predpokladaná</w:t>
            </w:r>
          </w:p>
        </w:tc>
        <w:tc>
          <w:tcPr>
            <w:tcW w:w="141" w:type="dxa"/>
          </w:tcPr>
          <w:p w:rsidR="004D3B4A" w:rsidRDefault="004D3B4A" w:rsidP="0000290B">
            <w:pPr>
              <w:pStyle w:val="Tabulka"/>
              <w:jc w:val="center"/>
            </w:pPr>
          </w:p>
        </w:tc>
        <w:tc>
          <w:tcPr>
            <w:tcW w:w="1701" w:type="dxa"/>
          </w:tcPr>
          <w:p w:rsidR="004D3B4A" w:rsidRDefault="004D3B4A" w:rsidP="0000290B">
            <w:pPr>
              <w:pStyle w:val="Tabulka"/>
              <w:jc w:val="center"/>
            </w:pPr>
            <w:r>
              <w:t>Metóda</w:t>
            </w:r>
          </w:p>
        </w:tc>
        <w:tc>
          <w:tcPr>
            <w:tcW w:w="142" w:type="dxa"/>
          </w:tcPr>
          <w:p w:rsidR="004D3B4A" w:rsidRDefault="004D3B4A" w:rsidP="0000290B">
            <w:pPr>
              <w:pStyle w:val="Tabulka"/>
              <w:jc w:val="center"/>
            </w:pPr>
          </w:p>
        </w:tc>
        <w:tc>
          <w:tcPr>
            <w:tcW w:w="1701" w:type="dxa"/>
          </w:tcPr>
          <w:p w:rsidR="004D3B4A" w:rsidRDefault="004D3B4A" w:rsidP="0000290B">
            <w:pPr>
              <w:pStyle w:val="Tabulka"/>
              <w:jc w:val="center"/>
            </w:pPr>
            <w:r>
              <w:t>Ročná odpisová</w:t>
            </w:r>
          </w:p>
        </w:tc>
      </w:tr>
      <w:tr w:rsidR="004D3B4A" w:rsidTr="0000290B">
        <w:trPr>
          <w:trHeight w:val="250"/>
        </w:trPr>
        <w:tc>
          <w:tcPr>
            <w:tcW w:w="2976" w:type="dxa"/>
            <w:tcBorders>
              <w:bottom w:val="single" w:sz="4" w:space="0" w:color="auto"/>
            </w:tcBorders>
          </w:tcPr>
          <w:p w:rsidR="004D3B4A" w:rsidRDefault="004D3B4A" w:rsidP="0000290B">
            <w:pPr>
              <w:pStyle w:val="Tabulka"/>
            </w:pPr>
          </w:p>
        </w:tc>
        <w:tc>
          <w:tcPr>
            <w:tcW w:w="142" w:type="dxa"/>
            <w:tcBorders>
              <w:bottom w:val="single" w:sz="4" w:space="0" w:color="auto"/>
            </w:tcBorders>
          </w:tcPr>
          <w:p w:rsidR="004D3B4A" w:rsidRDefault="004D3B4A" w:rsidP="0000290B">
            <w:pPr>
              <w:pStyle w:val="Tabulka"/>
            </w:pPr>
          </w:p>
        </w:tc>
        <w:tc>
          <w:tcPr>
            <w:tcW w:w="1985" w:type="dxa"/>
            <w:tcBorders>
              <w:bottom w:val="single" w:sz="4" w:space="0" w:color="auto"/>
            </w:tcBorders>
          </w:tcPr>
          <w:p w:rsidR="004D3B4A" w:rsidRDefault="004D3B4A" w:rsidP="0000290B">
            <w:pPr>
              <w:pStyle w:val="Tabulka"/>
              <w:jc w:val="center"/>
            </w:pPr>
            <w:r>
              <w:t>doba používania v rokoch</w:t>
            </w:r>
          </w:p>
        </w:tc>
        <w:tc>
          <w:tcPr>
            <w:tcW w:w="141" w:type="dxa"/>
            <w:tcBorders>
              <w:bottom w:val="single" w:sz="4" w:space="0" w:color="auto"/>
            </w:tcBorders>
          </w:tcPr>
          <w:p w:rsidR="004D3B4A" w:rsidRDefault="004D3B4A" w:rsidP="0000290B">
            <w:pPr>
              <w:pStyle w:val="Tabulka"/>
              <w:jc w:val="center"/>
            </w:pPr>
          </w:p>
        </w:tc>
        <w:tc>
          <w:tcPr>
            <w:tcW w:w="1701" w:type="dxa"/>
            <w:tcBorders>
              <w:bottom w:val="single" w:sz="4" w:space="0" w:color="auto"/>
            </w:tcBorders>
          </w:tcPr>
          <w:p w:rsidR="004D3B4A" w:rsidRDefault="004D3B4A" w:rsidP="0000290B">
            <w:pPr>
              <w:pStyle w:val="Tabulka"/>
              <w:jc w:val="center"/>
            </w:pPr>
            <w:r>
              <w:t>odpisovania</w:t>
            </w:r>
          </w:p>
        </w:tc>
        <w:tc>
          <w:tcPr>
            <w:tcW w:w="142" w:type="dxa"/>
            <w:tcBorders>
              <w:bottom w:val="single" w:sz="4" w:space="0" w:color="auto"/>
            </w:tcBorders>
          </w:tcPr>
          <w:p w:rsidR="004D3B4A" w:rsidRDefault="004D3B4A" w:rsidP="0000290B">
            <w:pPr>
              <w:pStyle w:val="Tabulka"/>
              <w:jc w:val="center"/>
            </w:pPr>
          </w:p>
        </w:tc>
        <w:tc>
          <w:tcPr>
            <w:tcW w:w="1701" w:type="dxa"/>
            <w:tcBorders>
              <w:bottom w:val="single" w:sz="4" w:space="0" w:color="auto"/>
            </w:tcBorders>
          </w:tcPr>
          <w:p w:rsidR="004D3B4A" w:rsidRDefault="004D3B4A" w:rsidP="0000290B">
            <w:pPr>
              <w:pStyle w:val="Tabulka"/>
              <w:jc w:val="center"/>
            </w:pPr>
            <w:r>
              <w:t>sadzba v %</w:t>
            </w:r>
          </w:p>
        </w:tc>
      </w:tr>
      <w:tr w:rsidR="004D3B4A" w:rsidTr="0000290B">
        <w:trPr>
          <w:trHeight w:val="250"/>
        </w:trPr>
        <w:tc>
          <w:tcPr>
            <w:tcW w:w="3118" w:type="dxa"/>
            <w:gridSpan w:val="2"/>
            <w:tcBorders>
              <w:top w:val="single" w:sz="4" w:space="0" w:color="auto"/>
            </w:tcBorders>
          </w:tcPr>
          <w:p w:rsidR="004D3B4A" w:rsidRDefault="004D3B4A" w:rsidP="0000290B">
            <w:pPr>
              <w:pStyle w:val="Tabulka"/>
            </w:pPr>
            <w:r>
              <w:t>Stavby</w:t>
            </w:r>
          </w:p>
        </w:tc>
        <w:tc>
          <w:tcPr>
            <w:tcW w:w="1985" w:type="dxa"/>
            <w:tcBorders>
              <w:top w:val="single" w:sz="4" w:space="0" w:color="auto"/>
            </w:tcBorders>
          </w:tcPr>
          <w:p w:rsidR="004D3B4A" w:rsidRDefault="0091120B" w:rsidP="0091120B">
            <w:pPr>
              <w:pStyle w:val="Tabulka"/>
              <w:jc w:val="center"/>
            </w:pPr>
            <w:r>
              <w:t>4</w:t>
            </w:r>
            <w:r w:rsidR="004D3B4A">
              <w:t>0</w:t>
            </w:r>
          </w:p>
        </w:tc>
        <w:tc>
          <w:tcPr>
            <w:tcW w:w="141" w:type="dxa"/>
            <w:tcBorders>
              <w:top w:val="single" w:sz="4" w:space="0" w:color="auto"/>
            </w:tcBorders>
          </w:tcPr>
          <w:p w:rsidR="004D3B4A" w:rsidRDefault="004D3B4A" w:rsidP="0000290B">
            <w:pPr>
              <w:pStyle w:val="Tabulka"/>
              <w:jc w:val="center"/>
            </w:pPr>
          </w:p>
        </w:tc>
        <w:tc>
          <w:tcPr>
            <w:tcW w:w="1701" w:type="dxa"/>
            <w:tcBorders>
              <w:top w:val="single" w:sz="4" w:space="0" w:color="auto"/>
            </w:tcBorders>
          </w:tcPr>
          <w:p w:rsidR="004D3B4A" w:rsidRDefault="008500D0" w:rsidP="008500D0">
            <w:pPr>
              <w:pStyle w:val="Tabulka"/>
              <w:jc w:val="center"/>
            </w:pPr>
            <w:r>
              <w:t>l</w:t>
            </w:r>
            <w:r w:rsidR="004D3B4A">
              <w:t>ineárna</w:t>
            </w:r>
          </w:p>
        </w:tc>
        <w:tc>
          <w:tcPr>
            <w:tcW w:w="142" w:type="dxa"/>
            <w:tcBorders>
              <w:top w:val="single" w:sz="4" w:space="0" w:color="auto"/>
            </w:tcBorders>
          </w:tcPr>
          <w:p w:rsidR="004D3B4A" w:rsidRDefault="004D3B4A" w:rsidP="0000290B">
            <w:pPr>
              <w:pStyle w:val="Tabulka"/>
              <w:jc w:val="center"/>
            </w:pPr>
          </w:p>
        </w:tc>
        <w:tc>
          <w:tcPr>
            <w:tcW w:w="1701" w:type="dxa"/>
            <w:tcBorders>
              <w:top w:val="single" w:sz="4" w:space="0" w:color="auto"/>
            </w:tcBorders>
          </w:tcPr>
          <w:p w:rsidR="004D3B4A" w:rsidRDefault="004D3B4A" w:rsidP="0000290B">
            <w:pPr>
              <w:pStyle w:val="Tabulka"/>
              <w:jc w:val="center"/>
            </w:pPr>
            <w:r>
              <w:t>5</w:t>
            </w:r>
            <w:r w:rsidR="008500D0">
              <w:t>,0</w:t>
            </w:r>
          </w:p>
        </w:tc>
      </w:tr>
      <w:tr w:rsidR="004D3B4A" w:rsidTr="0000290B">
        <w:trPr>
          <w:trHeight w:val="250"/>
        </w:trPr>
        <w:tc>
          <w:tcPr>
            <w:tcW w:w="3118" w:type="dxa"/>
            <w:gridSpan w:val="2"/>
          </w:tcPr>
          <w:p w:rsidR="004D3B4A" w:rsidRDefault="004D3B4A" w:rsidP="0000290B">
            <w:pPr>
              <w:pStyle w:val="Tabulka"/>
            </w:pPr>
            <w:r>
              <w:t>Stroje, prístroje a zariadenia</w:t>
            </w:r>
          </w:p>
        </w:tc>
        <w:tc>
          <w:tcPr>
            <w:tcW w:w="1985" w:type="dxa"/>
          </w:tcPr>
          <w:p w:rsidR="004D3B4A" w:rsidRDefault="008500D0" w:rsidP="008500D0">
            <w:pPr>
              <w:pStyle w:val="Tabulka"/>
              <w:jc w:val="center"/>
            </w:pPr>
            <w:r>
              <w:t>6</w:t>
            </w:r>
            <w:r w:rsidR="004D3B4A">
              <w:t xml:space="preserve"> až 12</w:t>
            </w:r>
          </w:p>
        </w:tc>
        <w:tc>
          <w:tcPr>
            <w:tcW w:w="141" w:type="dxa"/>
          </w:tcPr>
          <w:p w:rsidR="004D3B4A" w:rsidRDefault="004D3B4A" w:rsidP="0000290B">
            <w:pPr>
              <w:pStyle w:val="Tabulka"/>
              <w:jc w:val="center"/>
            </w:pPr>
          </w:p>
        </w:tc>
        <w:tc>
          <w:tcPr>
            <w:tcW w:w="1701" w:type="dxa"/>
          </w:tcPr>
          <w:p w:rsidR="004D3B4A" w:rsidRDefault="008500D0" w:rsidP="008500D0">
            <w:pPr>
              <w:pStyle w:val="Tabulka"/>
              <w:jc w:val="center"/>
            </w:pPr>
            <w:r>
              <w:t>l</w:t>
            </w:r>
            <w:r w:rsidR="004D3B4A">
              <w:t>ineárna</w:t>
            </w:r>
          </w:p>
        </w:tc>
        <w:tc>
          <w:tcPr>
            <w:tcW w:w="142" w:type="dxa"/>
          </w:tcPr>
          <w:p w:rsidR="004D3B4A" w:rsidRDefault="004D3B4A" w:rsidP="0000290B">
            <w:pPr>
              <w:pStyle w:val="Tabulka"/>
              <w:jc w:val="center"/>
            </w:pPr>
          </w:p>
        </w:tc>
        <w:tc>
          <w:tcPr>
            <w:tcW w:w="1701" w:type="dxa"/>
          </w:tcPr>
          <w:p w:rsidR="004D3B4A" w:rsidRDefault="008500D0" w:rsidP="008500D0">
            <w:pPr>
              <w:pStyle w:val="Tabulka"/>
              <w:jc w:val="center"/>
            </w:pPr>
            <w:r>
              <w:t>16,7</w:t>
            </w:r>
            <w:r w:rsidR="004D3B4A">
              <w:t xml:space="preserve"> až </w:t>
            </w:r>
            <w:r>
              <w:t>8,3</w:t>
            </w:r>
          </w:p>
        </w:tc>
      </w:tr>
      <w:tr w:rsidR="004D3B4A" w:rsidTr="0000290B">
        <w:trPr>
          <w:trHeight w:val="250"/>
        </w:trPr>
        <w:tc>
          <w:tcPr>
            <w:tcW w:w="3118" w:type="dxa"/>
            <w:gridSpan w:val="2"/>
          </w:tcPr>
          <w:p w:rsidR="004D3B4A" w:rsidRDefault="004D3B4A" w:rsidP="0000290B">
            <w:pPr>
              <w:pStyle w:val="Tabulka"/>
            </w:pPr>
            <w:r>
              <w:t>Dopravné prostriedky</w:t>
            </w:r>
          </w:p>
        </w:tc>
        <w:tc>
          <w:tcPr>
            <w:tcW w:w="1985" w:type="dxa"/>
          </w:tcPr>
          <w:p w:rsidR="004D3B4A" w:rsidRDefault="004D3B4A" w:rsidP="0000290B">
            <w:pPr>
              <w:pStyle w:val="Tabulka"/>
              <w:jc w:val="center"/>
            </w:pPr>
            <w:r>
              <w:t>4 až 6</w:t>
            </w:r>
          </w:p>
        </w:tc>
        <w:tc>
          <w:tcPr>
            <w:tcW w:w="141" w:type="dxa"/>
          </w:tcPr>
          <w:p w:rsidR="004D3B4A" w:rsidRDefault="004D3B4A" w:rsidP="0000290B">
            <w:pPr>
              <w:pStyle w:val="Tabulka"/>
              <w:jc w:val="center"/>
            </w:pPr>
          </w:p>
        </w:tc>
        <w:tc>
          <w:tcPr>
            <w:tcW w:w="1701" w:type="dxa"/>
          </w:tcPr>
          <w:p w:rsidR="004D3B4A" w:rsidRDefault="008500D0" w:rsidP="0000290B">
            <w:pPr>
              <w:pStyle w:val="Tabulka"/>
              <w:jc w:val="center"/>
            </w:pPr>
            <w:r>
              <w:t>lineárna</w:t>
            </w:r>
          </w:p>
        </w:tc>
        <w:tc>
          <w:tcPr>
            <w:tcW w:w="142" w:type="dxa"/>
          </w:tcPr>
          <w:p w:rsidR="004D3B4A" w:rsidRDefault="004D3B4A" w:rsidP="0000290B">
            <w:pPr>
              <w:pStyle w:val="Tabulka"/>
              <w:jc w:val="center"/>
            </w:pPr>
          </w:p>
        </w:tc>
        <w:tc>
          <w:tcPr>
            <w:tcW w:w="1701" w:type="dxa"/>
          </w:tcPr>
          <w:p w:rsidR="004D3B4A" w:rsidRDefault="008500D0" w:rsidP="008500D0">
            <w:pPr>
              <w:pStyle w:val="Tabulka"/>
              <w:jc w:val="center"/>
            </w:pPr>
            <w:r>
              <w:t>25</w:t>
            </w:r>
            <w:r w:rsidR="004D3B4A">
              <w:t xml:space="preserve"> až </w:t>
            </w:r>
            <w:r>
              <w:t>16,7</w:t>
            </w:r>
          </w:p>
        </w:tc>
      </w:tr>
      <w:tr w:rsidR="004D3B4A" w:rsidTr="0000290B">
        <w:trPr>
          <w:trHeight w:val="250"/>
        </w:trPr>
        <w:tc>
          <w:tcPr>
            <w:tcW w:w="3118" w:type="dxa"/>
            <w:gridSpan w:val="2"/>
          </w:tcPr>
          <w:p w:rsidR="004D3B4A" w:rsidRDefault="004D3B4A" w:rsidP="0000290B">
            <w:pPr>
              <w:pStyle w:val="Tabulka"/>
            </w:pPr>
            <w:r>
              <w:t>Drobný dlhodobý hmotný majetok</w:t>
            </w:r>
          </w:p>
        </w:tc>
        <w:tc>
          <w:tcPr>
            <w:tcW w:w="1985" w:type="dxa"/>
          </w:tcPr>
          <w:p w:rsidR="004D3B4A" w:rsidRDefault="004D3B4A" w:rsidP="0000290B">
            <w:pPr>
              <w:pStyle w:val="Tabulka"/>
              <w:jc w:val="center"/>
            </w:pPr>
            <w:r>
              <w:t>rôzna</w:t>
            </w:r>
          </w:p>
        </w:tc>
        <w:tc>
          <w:tcPr>
            <w:tcW w:w="141" w:type="dxa"/>
          </w:tcPr>
          <w:p w:rsidR="004D3B4A" w:rsidRDefault="004D3B4A" w:rsidP="0000290B">
            <w:pPr>
              <w:pStyle w:val="Tabulka"/>
              <w:jc w:val="center"/>
            </w:pPr>
          </w:p>
        </w:tc>
        <w:tc>
          <w:tcPr>
            <w:tcW w:w="1701" w:type="dxa"/>
          </w:tcPr>
          <w:p w:rsidR="004D3B4A" w:rsidRDefault="004D3B4A" w:rsidP="0000290B">
            <w:pPr>
              <w:pStyle w:val="Tabulka"/>
              <w:jc w:val="center"/>
            </w:pPr>
            <w:r>
              <w:t>jednorazový odpis</w:t>
            </w:r>
          </w:p>
        </w:tc>
        <w:tc>
          <w:tcPr>
            <w:tcW w:w="142" w:type="dxa"/>
          </w:tcPr>
          <w:p w:rsidR="004D3B4A" w:rsidRDefault="004D3B4A" w:rsidP="0000290B">
            <w:pPr>
              <w:pStyle w:val="Tabulka"/>
              <w:jc w:val="center"/>
            </w:pPr>
          </w:p>
        </w:tc>
        <w:tc>
          <w:tcPr>
            <w:tcW w:w="1701" w:type="dxa"/>
          </w:tcPr>
          <w:p w:rsidR="004D3B4A" w:rsidRDefault="004D3B4A" w:rsidP="0000290B">
            <w:pPr>
              <w:pStyle w:val="Tabulka"/>
              <w:jc w:val="center"/>
            </w:pPr>
            <w:r>
              <w:t>100</w:t>
            </w:r>
          </w:p>
        </w:tc>
      </w:tr>
    </w:tbl>
    <w:p w:rsidR="00887683" w:rsidRDefault="00887683" w:rsidP="00251BF2">
      <w:pPr>
        <w:pStyle w:val="Pismenka"/>
        <w:numPr>
          <w:ilvl w:val="0"/>
          <w:numId w:val="0"/>
        </w:numPr>
      </w:pPr>
    </w:p>
    <w:p w:rsidR="003A2714" w:rsidRDefault="003A2714" w:rsidP="00251BF2">
      <w:pPr>
        <w:pStyle w:val="Pismenka"/>
        <w:numPr>
          <w:ilvl w:val="0"/>
          <w:numId w:val="0"/>
        </w:numPr>
      </w:pPr>
    </w:p>
    <w:p w:rsidR="003A2714" w:rsidRDefault="003A2714" w:rsidP="00251BF2">
      <w:pPr>
        <w:pStyle w:val="Pismenka"/>
        <w:numPr>
          <w:ilvl w:val="0"/>
          <w:numId w:val="0"/>
        </w:numPr>
      </w:pPr>
    </w:p>
    <w:p w:rsidR="004D3B4A" w:rsidRDefault="004D3B4A" w:rsidP="00251BF2">
      <w:pPr>
        <w:pStyle w:val="Pismenka"/>
        <w:tabs>
          <w:tab w:val="clear" w:pos="426"/>
        </w:tabs>
        <w:ind w:left="426"/>
      </w:pPr>
      <w:r>
        <w:t>Cenné papiere a podiely</w:t>
      </w:r>
    </w:p>
    <w:p w:rsidR="004D3B4A" w:rsidRDefault="004D3B4A" w:rsidP="004D3B4A">
      <w:pPr>
        <w:pStyle w:val="Zkladntext"/>
      </w:pPr>
      <w:r>
        <w:t>Cenné papiere a podiely sa oceňujú obstarávacími cenami vrátane nákladov súvisiacich s</w:t>
      </w:r>
      <w:r w:rsidR="00577BFD">
        <w:t xml:space="preserve"> ich </w:t>
      </w:r>
      <w:r>
        <w:t>obstaraním. Od obstarávacej ceny je odpočítané zníženie hodnoty cenných papierov a</w:t>
      </w:r>
      <w:r w:rsidR="008500D0">
        <w:t> </w:t>
      </w:r>
      <w:r>
        <w:t>podielov</w:t>
      </w:r>
      <w:r w:rsidR="008500D0">
        <w:t xml:space="preserve"> na základe ich tržného alebo znaleckého ocenenia</w:t>
      </w:r>
      <w:r>
        <w:t xml:space="preserve">. </w:t>
      </w:r>
    </w:p>
    <w:p w:rsidR="004D3B4A" w:rsidRDefault="004D3B4A" w:rsidP="004D3B4A">
      <w:pPr>
        <w:pStyle w:val="Zkladntext"/>
      </w:pPr>
    </w:p>
    <w:p w:rsidR="00E57A51" w:rsidRDefault="00E57A51" w:rsidP="004D3B4A">
      <w:pPr>
        <w:pStyle w:val="Zkladntext"/>
      </w:pPr>
    </w:p>
    <w:p w:rsidR="004D3B4A" w:rsidRDefault="004D3B4A" w:rsidP="00251BF2">
      <w:pPr>
        <w:pStyle w:val="Pismenka"/>
        <w:tabs>
          <w:tab w:val="clear" w:pos="426"/>
        </w:tabs>
        <w:ind w:left="426"/>
      </w:pPr>
      <w:r>
        <w:t xml:space="preserve">Zásoby </w:t>
      </w:r>
    </w:p>
    <w:p w:rsidR="004D3B4A" w:rsidRDefault="004D3B4A" w:rsidP="004D3B4A">
      <w:pPr>
        <w:pStyle w:val="Zkladntext"/>
      </w:pPr>
      <w:r>
        <w:t xml:space="preserve">Zásoby sa oceňujú </w:t>
      </w:r>
      <w:r w:rsidR="008500D0">
        <w:t xml:space="preserve">priemernou </w:t>
      </w:r>
      <w:r>
        <w:t>obstarávacou cenou (nakupované zásoby) alebo vlastnými nákladmi (zásoby vytvorené vlastnou činnosťou) alebo čistou realizačnou hodnotou.</w:t>
      </w:r>
    </w:p>
    <w:p w:rsidR="004D3B4A" w:rsidRDefault="004D3B4A" w:rsidP="004D3B4A">
      <w:pPr>
        <w:pStyle w:val="Zkladntext"/>
      </w:pPr>
      <w:r>
        <w:t>Obstarávacia cena zahŕňa cenu zásob a náklady súvisiace s obstaraním (clo, prepravu, poistné, provízie, skonto a pod.). Úroky z cudzích zdrojov nie sú súčasťou obstarávacej ceny. Nakupované zásoby sa oceňujú váženým aritmetickým priemerom z obstarávacích cien.</w:t>
      </w:r>
    </w:p>
    <w:p w:rsidR="004D3B4A" w:rsidRDefault="004D3B4A" w:rsidP="004D3B4A">
      <w:pPr>
        <w:pStyle w:val="Zkladntext"/>
      </w:pPr>
    </w:p>
    <w:p w:rsidR="004D3B4A" w:rsidRDefault="004D3B4A" w:rsidP="004D3B4A">
      <w:pPr>
        <w:pStyle w:val="Zkladntext"/>
      </w:pPr>
      <w:r>
        <w:t>Vlastné náklady zahŕňajú priame náklady (priamy materiál, priame mzdy a ostatné priame náklady) a časť nepriamych nákladov bezprostredne súvisiacich s vytvorením zásob vlastnou činnosťou (výrobná réžia). Správna réžia a odbytové náklady nie sú súčasťou vlastných nákladov. Súčasťou vlastných nákladov nie sú úroky z cudzích zdrojov.</w:t>
      </w:r>
    </w:p>
    <w:p w:rsidR="004D3B4A" w:rsidRDefault="004D3B4A" w:rsidP="004D3B4A">
      <w:pPr>
        <w:pStyle w:val="Zkladntext"/>
      </w:pPr>
    </w:p>
    <w:p w:rsidR="004D3B4A" w:rsidRDefault="004D3B4A" w:rsidP="004D3B4A">
      <w:pPr>
        <w:pStyle w:val="Zkladntext"/>
      </w:pPr>
      <w:r>
        <w:t xml:space="preserve">Čistá realizačná hodnota je predpokladaná predajná cena znížená o predpokladané náklady na ich dokončenie a o predpokladané náklady súvisiace s ich predajom.  </w:t>
      </w:r>
    </w:p>
    <w:p w:rsidR="004D3B4A" w:rsidRDefault="004D3B4A" w:rsidP="004D3B4A">
      <w:pPr>
        <w:pStyle w:val="Zkladntext"/>
      </w:pPr>
    </w:p>
    <w:p w:rsidR="004D3B4A" w:rsidRDefault="004D3B4A" w:rsidP="004D3B4A">
      <w:pPr>
        <w:pStyle w:val="Zkladntext"/>
      </w:pPr>
      <w:r>
        <w:t>Zníženie hodnoty zásob sa upravuje vytvorením opravnej položky.</w:t>
      </w:r>
    </w:p>
    <w:p w:rsidR="004D3B4A" w:rsidRDefault="004D3B4A" w:rsidP="00251BF2">
      <w:pPr>
        <w:pStyle w:val="Pismenka"/>
        <w:numPr>
          <w:ilvl w:val="0"/>
          <w:numId w:val="0"/>
        </w:numPr>
        <w:rPr>
          <w:b w:val="0"/>
        </w:rPr>
      </w:pPr>
    </w:p>
    <w:p w:rsidR="00E57A51" w:rsidRPr="007752E5" w:rsidRDefault="00E57A51" w:rsidP="00E57A51">
      <w:pPr>
        <w:pStyle w:val="Pismenka"/>
        <w:tabs>
          <w:tab w:val="clear" w:pos="426"/>
        </w:tabs>
        <w:ind w:left="426"/>
      </w:pPr>
      <w:r w:rsidRPr="007752E5">
        <w:t>Zákazková výroba</w:t>
      </w:r>
    </w:p>
    <w:p w:rsidR="00E57A51" w:rsidRPr="007752E5" w:rsidRDefault="00E57A51" w:rsidP="00E57A51">
      <w:pPr>
        <w:pStyle w:val="Zkladntext"/>
      </w:pPr>
      <w:r w:rsidRPr="007752E5">
        <w:t xml:space="preserve">Zákazková výroba sa vykazuje použitím metódy stupňa dokončenia zákazky (angl. </w:t>
      </w:r>
      <w:proofErr w:type="spellStart"/>
      <w:r w:rsidRPr="007752E5">
        <w:t>percentage</w:t>
      </w:r>
      <w:proofErr w:type="spellEnd"/>
      <w:r w:rsidRPr="007752E5">
        <w:t>-of-</w:t>
      </w:r>
      <w:proofErr w:type="spellStart"/>
      <w:r w:rsidRPr="007752E5">
        <w:t>completion</w:t>
      </w:r>
      <w:proofErr w:type="spellEnd"/>
      <w:r w:rsidRPr="007752E5">
        <w:t>-</w:t>
      </w:r>
      <w:proofErr w:type="spellStart"/>
      <w:r w:rsidRPr="007752E5">
        <w:t>method</w:t>
      </w:r>
      <w:proofErr w:type="spellEnd"/>
      <w:r w:rsidRPr="007752E5">
        <w:t>).</w:t>
      </w:r>
    </w:p>
    <w:p w:rsidR="00E57A51" w:rsidRPr="007752E5" w:rsidRDefault="00E57A51" w:rsidP="00E57A51">
      <w:pPr>
        <w:pStyle w:val="Pismenka"/>
        <w:numPr>
          <w:ilvl w:val="0"/>
          <w:numId w:val="0"/>
        </w:numPr>
        <w:rPr>
          <w:b w:val="0"/>
        </w:rPr>
      </w:pPr>
    </w:p>
    <w:p w:rsidR="00E57A51" w:rsidRPr="007752E5" w:rsidRDefault="00E57A51" w:rsidP="00E57A51">
      <w:pPr>
        <w:pStyle w:val="Pismenka"/>
        <w:numPr>
          <w:ilvl w:val="0"/>
          <w:numId w:val="0"/>
        </w:numPr>
        <w:rPr>
          <w:b w:val="0"/>
        </w:rPr>
      </w:pPr>
    </w:p>
    <w:p w:rsidR="00E57A51" w:rsidRPr="007752E5" w:rsidRDefault="00E57A51" w:rsidP="00E57A51">
      <w:pPr>
        <w:pStyle w:val="Pismenka"/>
        <w:tabs>
          <w:tab w:val="clear" w:pos="426"/>
        </w:tabs>
        <w:ind w:left="426"/>
      </w:pPr>
      <w:r w:rsidRPr="007752E5">
        <w:t>Zákazková výstavba nehnuteľnosti</w:t>
      </w:r>
    </w:p>
    <w:p w:rsidR="00E57A51" w:rsidRPr="007752E5" w:rsidRDefault="00E57A51" w:rsidP="00E57A51">
      <w:pPr>
        <w:pStyle w:val="Zkladntext"/>
      </w:pPr>
    </w:p>
    <w:p w:rsidR="00E57A51" w:rsidRPr="007752E5" w:rsidRDefault="00E57A51" w:rsidP="00E57A51">
      <w:pPr>
        <w:pStyle w:val="Zkladntext"/>
        <w:rPr>
          <w:b/>
          <w:i/>
        </w:rPr>
      </w:pPr>
      <w:r w:rsidRPr="007752E5">
        <w:rPr>
          <w:b/>
          <w:i/>
        </w:rPr>
        <w:t>Zákazková výstavba nehnuteľnosti – priebežný transfer</w:t>
      </w:r>
    </w:p>
    <w:p w:rsidR="00E57A51" w:rsidRPr="007752E5" w:rsidRDefault="00E57A51" w:rsidP="00E57A51">
      <w:pPr>
        <w:pStyle w:val="Zkladntext"/>
      </w:pPr>
      <w:r w:rsidRPr="007752E5">
        <w:t xml:space="preserve">Zákazková výstavba nehnuteľnosti určenej na predaj sa vykazuje podľa metódy stupňa dokončenia. </w:t>
      </w:r>
    </w:p>
    <w:p w:rsidR="00E57A51" w:rsidRPr="007752E5" w:rsidRDefault="00E57A51" w:rsidP="00E57A51">
      <w:pPr>
        <w:pStyle w:val="Zkladntext"/>
      </w:pPr>
    </w:p>
    <w:p w:rsidR="00E57A51" w:rsidRPr="007752E5" w:rsidRDefault="00E57A51" w:rsidP="00E57A51">
      <w:pPr>
        <w:pStyle w:val="Zkladntext"/>
        <w:rPr>
          <w:b/>
          <w:i/>
        </w:rPr>
      </w:pPr>
      <w:r w:rsidRPr="007752E5">
        <w:rPr>
          <w:b/>
          <w:i/>
        </w:rPr>
        <w:t>Zákazková výstavba nehnuteľnosti – ostatná (nie priebežný transfer)</w:t>
      </w:r>
    </w:p>
    <w:p w:rsidR="00E57A51" w:rsidRPr="00777324" w:rsidRDefault="00E57A51" w:rsidP="00E57A51">
      <w:pPr>
        <w:pStyle w:val="Zkladntext"/>
      </w:pPr>
      <w:r w:rsidRPr="007752E5">
        <w:t>Zákazková výstavba nehnuteľnosti určenej na predaj – ostatná (nie priebežný transfer) sa vykazuje metódou tzv. nulového zisku, t. j. zisk sa vykáže pri predaji nehnuteľnosti.</w:t>
      </w:r>
    </w:p>
    <w:p w:rsidR="00E57A51" w:rsidRDefault="00E57A51" w:rsidP="00E57A51">
      <w:pPr>
        <w:pStyle w:val="Pismenka"/>
        <w:numPr>
          <w:ilvl w:val="0"/>
          <w:numId w:val="0"/>
        </w:numPr>
        <w:ind w:left="426"/>
      </w:pPr>
    </w:p>
    <w:p w:rsidR="004D3B4A" w:rsidRDefault="004D3B4A" w:rsidP="00251BF2">
      <w:pPr>
        <w:pStyle w:val="Pismenka"/>
        <w:tabs>
          <w:tab w:val="clear" w:pos="426"/>
        </w:tabs>
        <w:ind w:left="426"/>
      </w:pPr>
      <w:r>
        <w:t>Pohľadávky</w:t>
      </w:r>
    </w:p>
    <w:p w:rsidR="004D3B4A" w:rsidRDefault="004D3B4A" w:rsidP="004D3B4A">
      <w:pPr>
        <w:pStyle w:val="Zkladntext"/>
      </w:pPr>
      <w:r>
        <w:t>Pohľadávky pri ich vzniku sa oceňujú ich menovitou hodnotou; postúpené pohľadávky a pohľadávky nadobudnuté vkladom do základného imania sa oceňujú obstarávacou cenou vrátane nákladov súvisiacich s obstaraním. Toto ocenenie sa znižuje o pochybné a nevymožiteľné pohľadávky.</w:t>
      </w:r>
    </w:p>
    <w:p w:rsidR="004D3B4A" w:rsidRDefault="004D3B4A" w:rsidP="004D3B4A">
      <w:pPr>
        <w:pStyle w:val="Zkladntext"/>
      </w:pPr>
    </w:p>
    <w:p w:rsidR="004D3B4A" w:rsidRDefault="004D3B4A" w:rsidP="00251BF2">
      <w:pPr>
        <w:pStyle w:val="Pismenka"/>
        <w:tabs>
          <w:tab w:val="clear" w:pos="426"/>
        </w:tabs>
        <w:ind w:left="426"/>
      </w:pPr>
      <w:r>
        <w:t>Peňažné prostriedky a ceniny</w:t>
      </w:r>
    </w:p>
    <w:p w:rsidR="004D3B4A" w:rsidRDefault="004D3B4A" w:rsidP="004D3B4A">
      <w:pPr>
        <w:pStyle w:val="Zkladntext"/>
      </w:pPr>
      <w:r>
        <w:t>Peňažné prostriedky a ceniny sa oceňujú ich menovitou hodnotou. Zníženie ich hodnoty sa vyjadruje opravnou položkou.</w:t>
      </w:r>
    </w:p>
    <w:p w:rsidR="004D3B4A" w:rsidRDefault="004D3B4A" w:rsidP="004D3B4A">
      <w:pPr>
        <w:pStyle w:val="Zkladntext"/>
      </w:pPr>
    </w:p>
    <w:p w:rsidR="009E65D7" w:rsidRDefault="009E65D7" w:rsidP="004D3B4A">
      <w:pPr>
        <w:pStyle w:val="Zkladntext"/>
      </w:pPr>
    </w:p>
    <w:p w:rsidR="004D3B4A" w:rsidRDefault="004D3B4A" w:rsidP="00251BF2">
      <w:pPr>
        <w:pStyle w:val="Pismenka"/>
        <w:tabs>
          <w:tab w:val="clear" w:pos="426"/>
        </w:tabs>
        <w:ind w:left="426"/>
      </w:pPr>
      <w:r>
        <w:t>Náklady budúcich období a príjmy budúcich období</w:t>
      </w:r>
    </w:p>
    <w:p w:rsidR="004D3B4A" w:rsidRDefault="004D3B4A" w:rsidP="004D3B4A">
      <w:pPr>
        <w:pStyle w:val="Zkladntext"/>
      </w:pPr>
      <w:r>
        <w:t>Náklady budúcich období a príjmy budúcich období sa vykazujú vo výške, ktorá je potrebná na dodržanie zásady vecnej a časovej súvislosti s účtovným obdobím.</w:t>
      </w:r>
    </w:p>
    <w:p w:rsidR="004D3B4A" w:rsidRDefault="004D3B4A" w:rsidP="004D3B4A">
      <w:pPr>
        <w:pStyle w:val="Zkladntext"/>
      </w:pPr>
    </w:p>
    <w:p w:rsidR="004D3B4A" w:rsidRDefault="004D3B4A" w:rsidP="00251BF2">
      <w:pPr>
        <w:pStyle w:val="Pismenka"/>
        <w:tabs>
          <w:tab w:val="clear" w:pos="426"/>
        </w:tabs>
        <w:ind w:left="426"/>
      </w:pPr>
      <w:r>
        <w:t>Rezervy</w:t>
      </w:r>
    </w:p>
    <w:p w:rsidR="004D3B4A" w:rsidRDefault="004D3B4A" w:rsidP="004D3B4A">
      <w:pPr>
        <w:pStyle w:val="Zkladntext"/>
      </w:pPr>
      <w:r>
        <w:t xml:space="preserve">Rezervy sú záväzky s neurčitým časovým vymedzením alebo výškou; tvoria sa na krytie </w:t>
      </w:r>
      <w:r w:rsidR="00EB1BB0">
        <w:t xml:space="preserve">predpokladaných </w:t>
      </w:r>
      <w:r>
        <w:t>známych rizík alebo strát z podnikania. Oceňujú sa v očakávanej výške záväzku.</w:t>
      </w:r>
    </w:p>
    <w:p w:rsidR="004D3B4A" w:rsidRDefault="004D3B4A" w:rsidP="00251BF2">
      <w:pPr>
        <w:pStyle w:val="Pismenka"/>
        <w:numPr>
          <w:ilvl w:val="0"/>
          <w:numId w:val="0"/>
        </w:numPr>
        <w:ind w:left="360"/>
      </w:pPr>
    </w:p>
    <w:p w:rsidR="009E65D7" w:rsidRDefault="009E65D7" w:rsidP="00251BF2">
      <w:pPr>
        <w:pStyle w:val="Pismenka"/>
        <w:numPr>
          <w:ilvl w:val="0"/>
          <w:numId w:val="0"/>
        </w:numPr>
        <w:ind w:left="360"/>
      </w:pPr>
    </w:p>
    <w:p w:rsidR="004D3B4A" w:rsidRDefault="004D3B4A" w:rsidP="00251BF2">
      <w:pPr>
        <w:pStyle w:val="Pismenka"/>
        <w:tabs>
          <w:tab w:val="clear" w:pos="426"/>
        </w:tabs>
        <w:ind w:left="426"/>
      </w:pPr>
      <w:r>
        <w:t>Záväzky</w:t>
      </w:r>
    </w:p>
    <w:p w:rsidR="004D3B4A" w:rsidRDefault="004D3B4A" w:rsidP="004D3B4A">
      <w:pPr>
        <w:pStyle w:val="Zkladntext"/>
        <w:rPr>
          <w:sz w:val="24"/>
        </w:rPr>
      </w:pPr>
      <w:r>
        <w:t xml:space="preserve">Záväzky pri ich vzniku sa oceňujú menovitou hodnotou. Záväzky pri ich prevzatí sa oceňujú obstarávacou cenou. Ak sa pri inventarizácii zistí, že suma záväzkov je iná ako ich výška v účtovníctve, uvedú sa záväzky v účtovníctve a v účtovnej závierke v tomto zistenom ocenení. </w:t>
      </w:r>
    </w:p>
    <w:p w:rsidR="004D3B4A" w:rsidRDefault="004D3B4A" w:rsidP="00251BF2">
      <w:pPr>
        <w:pStyle w:val="Pismenka"/>
        <w:numPr>
          <w:ilvl w:val="0"/>
          <w:numId w:val="0"/>
        </w:numPr>
        <w:ind w:left="360"/>
      </w:pPr>
    </w:p>
    <w:p w:rsidR="004D3B4A" w:rsidRDefault="004D3B4A" w:rsidP="00251BF2">
      <w:pPr>
        <w:pStyle w:val="Pismenka"/>
        <w:tabs>
          <w:tab w:val="clear" w:pos="426"/>
        </w:tabs>
        <w:ind w:left="426"/>
      </w:pPr>
      <w:r>
        <w:t>Odložené dane</w:t>
      </w:r>
    </w:p>
    <w:p w:rsidR="004D3B4A" w:rsidRDefault="004D3B4A" w:rsidP="004D3B4A">
      <w:pPr>
        <w:pStyle w:val="Zkladntext"/>
      </w:pPr>
      <w:r>
        <w:t xml:space="preserve">Odložené dane (odložená daňová pohľadávka a odložený daňový záväzok) sa vzťahujú na: </w:t>
      </w:r>
    </w:p>
    <w:p w:rsidR="004D3B4A" w:rsidRDefault="004D3B4A" w:rsidP="004D3B4A">
      <w:pPr>
        <w:pStyle w:val="Zkladntext"/>
        <w:numPr>
          <w:ilvl w:val="0"/>
          <w:numId w:val="8"/>
        </w:numPr>
      </w:pPr>
      <w:r>
        <w:t>dočasné rozdiely medzi účtovnou hodnotou majetku a účtovnou hodnotou záväzkov vykázanou v súvahe a ich daňovou základňou,</w:t>
      </w:r>
    </w:p>
    <w:p w:rsidR="004D3B4A" w:rsidRDefault="004D3B4A" w:rsidP="004D3B4A">
      <w:pPr>
        <w:pStyle w:val="Zkladntext"/>
        <w:numPr>
          <w:ilvl w:val="0"/>
          <w:numId w:val="8"/>
        </w:numPr>
      </w:pPr>
      <w:r>
        <w:t>možnosť umorovať daňovú stratu v budúcnosti, ktorou sa rozumie možnosť odpočítať daňovú stratu od základu dane v budúcnosti,</w:t>
      </w:r>
    </w:p>
    <w:p w:rsidR="004D3B4A" w:rsidRDefault="004D3B4A" w:rsidP="004D3B4A">
      <w:pPr>
        <w:pStyle w:val="Zkladntext"/>
        <w:numPr>
          <w:ilvl w:val="0"/>
          <w:numId w:val="8"/>
        </w:numPr>
      </w:pPr>
      <w:r>
        <w:t>možnosť previesť nevyužité daňové odpočty a iné daňové nároky do budúcich období.</w:t>
      </w:r>
    </w:p>
    <w:p w:rsidR="004D3B4A" w:rsidRDefault="004D3B4A" w:rsidP="004D3B4A">
      <w:pPr>
        <w:pStyle w:val="Zkladntext"/>
      </w:pPr>
    </w:p>
    <w:p w:rsidR="004D3B4A" w:rsidRDefault="004D3B4A" w:rsidP="00251BF2">
      <w:pPr>
        <w:pStyle w:val="Pismenka"/>
        <w:tabs>
          <w:tab w:val="clear" w:pos="426"/>
        </w:tabs>
        <w:ind w:left="426"/>
      </w:pPr>
      <w:r>
        <w:t>Výdavky budúcich období a výnosy budúcich období</w:t>
      </w:r>
    </w:p>
    <w:p w:rsidR="004D3B4A" w:rsidRDefault="004D3B4A" w:rsidP="004D3B4A">
      <w:pPr>
        <w:pStyle w:val="Zkladntext"/>
      </w:pPr>
      <w:r>
        <w:t>Výdavky budúcich období a výnosy budúcich období sa vykazujú vo výške, ktorá je potrebná na dodržanie zásady vecnej a časovej súvislosti s účtovným obdobím.</w:t>
      </w:r>
    </w:p>
    <w:p w:rsidR="00310B30" w:rsidRDefault="00310B30" w:rsidP="00E67534">
      <w:pPr>
        <w:pStyle w:val="Zkladntext"/>
        <w:ind w:left="0"/>
        <w:rPr>
          <w:sz w:val="16"/>
          <w:szCs w:val="16"/>
        </w:rPr>
      </w:pPr>
    </w:p>
    <w:p w:rsidR="004D3B4A" w:rsidRPr="00E9297E" w:rsidRDefault="004D3B4A" w:rsidP="00251BF2">
      <w:pPr>
        <w:pStyle w:val="Pismenka"/>
        <w:tabs>
          <w:tab w:val="clear" w:pos="426"/>
        </w:tabs>
        <w:ind w:left="426"/>
      </w:pPr>
      <w:r w:rsidRPr="00E9297E">
        <w:t>Dotácie zo štátneho rozpočtu</w:t>
      </w:r>
    </w:p>
    <w:p w:rsidR="004D3B4A" w:rsidRPr="00E9297E" w:rsidRDefault="004D3B4A" w:rsidP="004D3B4A">
      <w:pPr>
        <w:ind w:left="450"/>
        <w:jc w:val="both"/>
        <w:rPr>
          <w:sz w:val="18"/>
        </w:rPr>
      </w:pPr>
      <w:r w:rsidRPr="00E9297E">
        <w:rPr>
          <w:sz w:val="18"/>
        </w:rPr>
        <w:t xml:space="preserve">O nároku na dotácie zo štátneho rozpočtu sa účtuje, ak je takmer isté, že na základe splnených podmienok na poskytnutie dotácie sa </w:t>
      </w:r>
      <w:r w:rsidR="00EB1BB0" w:rsidRPr="00E9297E">
        <w:rPr>
          <w:sz w:val="18"/>
        </w:rPr>
        <w:t>s</w:t>
      </w:r>
      <w:r w:rsidRPr="00E9297E">
        <w:rPr>
          <w:sz w:val="18"/>
        </w:rPr>
        <w:t>poločnosti daná dotácia poskytne.</w:t>
      </w:r>
    </w:p>
    <w:p w:rsidR="004D3B4A" w:rsidRPr="00E9297E" w:rsidRDefault="004D3B4A" w:rsidP="004D3B4A">
      <w:pPr>
        <w:ind w:left="450"/>
        <w:jc w:val="both"/>
        <w:rPr>
          <w:sz w:val="18"/>
        </w:rPr>
      </w:pPr>
    </w:p>
    <w:p w:rsidR="004D3B4A" w:rsidRPr="00E9297E" w:rsidRDefault="004D3B4A" w:rsidP="004D3B4A">
      <w:pPr>
        <w:ind w:left="450"/>
        <w:jc w:val="both"/>
        <w:rPr>
          <w:sz w:val="18"/>
        </w:rPr>
      </w:pPr>
      <w:r w:rsidRPr="00E9297E">
        <w:rPr>
          <w:sz w:val="18"/>
        </w:rPr>
        <w:t xml:space="preserve">Dotácie na hospodársku činnosť </w:t>
      </w:r>
      <w:r w:rsidR="00EB1BB0" w:rsidRPr="00E9297E">
        <w:rPr>
          <w:sz w:val="18"/>
        </w:rPr>
        <w:t>s</w:t>
      </w:r>
      <w:r w:rsidRPr="00E9297E">
        <w:rPr>
          <w:sz w:val="18"/>
        </w:rPr>
        <w:t>poločnosti sa najskôr vykazujú ako výnosy budúcich období a do výkazu ziskov a strát sa rozpúšťajú ako výnosy z hospodárskej činnosti v časovej a vecnej súvislosti s vynaložením nákladov na príslušný účel.</w:t>
      </w:r>
    </w:p>
    <w:p w:rsidR="004D3B4A" w:rsidRPr="00E9297E" w:rsidRDefault="004D3B4A" w:rsidP="004D3B4A">
      <w:pPr>
        <w:ind w:left="450"/>
        <w:jc w:val="both"/>
        <w:rPr>
          <w:sz w:val="18"/>
        </w:rPr>
      </w:pPr>
    </w:p>
    <w:p w:rsidR="004D3B4A" w:rsidRPr="00E92175" w:rsidRDefault="004D3B4A" w:rsidP="004D3B4A">
      <w:pPr>
        <w:ind w:left="450"/>
        <w:jc w:val="both"/>
        <w:rPr>
          <w:sz w:val="18"/>
        </w:rPr>
      </w:pPr>
      <w:r w:rsidRPr="00E9297E">
        <w:rPr>
          <w:sz w:val="18"/>
        </w:rPr>
        <w:t xml:space="preserve">Dotácie na obstaranie dlhodobého hmotného majetku a dlhodobého nehmotného majetku sa najskôr vykazujú ako výnosy budúcich období a do výkazu ziskov a strát sa rozpúšťajú v časovej a vecnej súvislosti so zaúčtovaním odpisov </w:t>
      </w:r>
      <w:r w:rsidR="00CF2FC7" w:rsidRPr="00E9297E">
        <w:rPr>
          <w:sz w:val="18"/>
        </w:rPr>
        <w:br/>
      </w:r>
      <w:r w:rsidRPr="00E9297E">
        <w:rPr>
          <w:sz w:val="18"/>
        </w:rPr>
        <w:t>z tohto dlhodobého majetku.</w:t>
      </w:r>
      <w:r w:rsidRPr="00E92175">
        <w:rPr>
          <w:sz w:val="18"/>
        </w:rPr>
        <w:t xml:space="preserve"> </w:t>
      </w:r>
    </w:p>
    <w:p w:rsidR="004D3B4A" w:rsidRDefault="004D3B4A" w:rsidP="004D3B4A">
      <w:pPr>
        <w:pStyle w:val="Zkladntext"/>
        <w:rPr>
          <w:sz w:val="16"/>
          <w:szCs w:val="16"/>
        </w:rPr>
      </w:pPr>
    </w:p>
    <w:p w:rsidR="001A5B77" w:rsidRPr="00B1412B" w:rsidRDefault="001A5B77" w:rsidP="004D3B4A">
      <w:pPr>
        <w:pStyle w:val="Zkladntext"/>
        <w:rPr>
          <w:sz w:val="16"/>
          <w:szCs w:val="16"/>
        </w:rPr>
      </w:pPr>
    </w:p>
    <w:p w:rsidR="004D3B4A" w:rsidRDefault="004D3B4A" w:rsidP="00251BF2">
      <w:pPr>
        <w:pStyle w:val="Pismenka"/>
        <w:tabs>
          <w:tab w:val="clear" w:pos="426"/>
        </w:tabs>
        <w:ind w:left="426"/>
      </w:pPr>
      <w:r>
        <w:lastRenderedPageBreak/>
        <w:t>Prenájom (lízing)</w:t>
      </w:r>
    </w:p>
    <w:p w:rsidR="004D3B4A" w:rsidRDefault="004D3B4A" w:rsidP="004D3B4A">
      <w:pPr>
        <w:pStyle w:val="Zkladntext"/>
      </w:pPr>
      <w:r>
        <w:t>Operatívny prenájom. Majetok prenajatý na základe operatívneho prenájmu vykazuje ako svoj majetok jeho vlastník, nie nájomca.</w:t>
      </w:r>
    </w:p>
    <w:p w:rsidR="00AB6B04" w:rsidRDefault="00AB6B04" w:rsidP="004D3B4A">
      <w:pPr>
        <w:pStyle w:val="Zkladntext"/>
      </w:pPr>
    </w:p>
    <w:p w:rsidR="00E67534" w:rsidRPr="00B50225" w:rsidRDefault="004D3B4A" w:rsidP="00E67534">
      <w:pPr>
        <w:pStyle w:val="Zkladntext"/>
        <w:rPr>
          <w:szCs w:val="18"/>
        </w:rPr>
      </w:pPr>
      <w:r>
        <w:t xml:space="preserve">Finančný prenájom (s kúpnou opciou; bez kúpnej opcie je považovaný za operatívny prenájom). </w:t>
      </w:r>
      <w:r w:rsidR="00E67534" w:rsidRPr="00B50225">
        <w:rPr>
          <w:szCs w:val="18"/>
        </w:rPr>
        <w:t xml:space="preserve">Majetok prenajatý  formou finančného prenájmu vykazuje ako svoj majetok a odpisuje ho jeho nájomca, nie vlastník. </w:t>
      </w:r>
    </w:p>
    <w:p w:rsidR="00E67534" w:rsidRPr="00B50225" w:rsidRDefault="00E67534" w:rsidP="00E67534">
      <w:pPr>
        <w:pStyle w:val="Zkladntext"/>
        <w:rPr>
          <w:szCs w:val="18"/>
        </w:rPr>
      </w:pPr>
    </w:p>
    <w:p w:rsidR="00E67534" w:rsidRPr="00B50225" w:rsidRDefault="00E67534" w:rsidP="00E67534">
      <w:pPr>
        <w:pStyle w:val="Zkladntext"/>
        <w:rPr>
          <w:szCs w:val="18"/>
        </w:rPr>
      </w:pPr>
      <w:r w:rsidRPr="00B50225">
        <w:rPr>
          <w:szCs w:val="18"/>
        </w:rPr>
        <w:t>Prijatie majetku nájomcom sa v účtovníctve nájomcu účtuje v deň prijatia majetku na ťarchu príslušného účtu majetku so súvzťažným zápisom v prospech účtu 474 – Záväzky z nájmu vo výške dohodnutých plati</w:t>
      </w:r>
      <w:r>
        <w:rPr>
          <w:szCs w:val="18"/>
        </w:rPr>
        <w:t>eb zníženými</w:t>
      </w:r>
      <w:r w:rsidRPr="00B50225">
        <w:rPr>
          <w:szCs w:val="18"/>
        </w:rPr>
        <w:t xml:space="preserve"> o nerealizované finančné náklady.</w:t>
      </w:r>
    </w:p>
    <w:p w:rsidR="00E67534" w:rsidRPr="00FC603B" w:rsidRDefault="00E67534" w:rsidP="00E67534">
      <w:pPr>
        <w:pStyle w:val="Zkladntext"/>
        <w:rPr>
          <w:szCs w:val="18"/>
        </w:rPr>
      </w:pPr>
    </w:p>
    <w:p w:rsidR="00E67534" w:rsidRDefault="00E67534" w:rsidP="00E67534">
      <w:pPr>
        <w:pStyle w:val="Zkladntext"/>
        <w:rPr>
          <w:szCs w:val="18"/>
        </w:rPr>
      </w:pPr>
      <w:r w:rsidRPr="00FD3474">
        <w:rPr>
          <w:szCs w:val="18"/>
        </w:rPr>
        <w:t>Súčasťou dohodnutých platieb je aj kúpna cena, za ktorú na konci dohodnutej doby finančného prenájmu prechádza</w:t>
      </w:r>
      <w:r w:rsidRPr="00891481">
        <w:rPr>
          <w:szCs w:val="18"/>
        </w:rPr>
        <w:t xml:space="preserve"> vlastnícke právo k prenajatému majetku z prenajímateľa na nájomcu. Dohodnutá doba nájmu je najmenej 60</w:t>
      </w:r>
      <w:r w:rsidRPr="008C0838">
        <w:rPr>
          <w:szCs w:val="18"/>
        </w:rPr>
        <w:t xml:space="preserve"> </w:t>
      </w:r>
      <w:r w:rsidRPr="00B50225">
        <w:rPr>
          <w:szCs w:val="18"/>
        </w:rPr>
        <w:t>% doby odpisovania podľa daňových predpisov, minimálne však 3 roky. Platba nájomného je alokovaná medzi splátku istiny a finančné náklady, vypočítané metódou efektívnej úrokovej miery. Finančné náklady sa účtujú na ťarchu účtu 562 – Úroky.</w:t>
      </w:r>
    </w:p>
    <w:p w:rsidR="004D3B4A" w:rsidRDefault="004D3B4A" w:rsidP="004D3B4A">
      <w:pPr>
        <w:pStyle w:val="Zkladntext"/>
        <w:rPr>
          <w:sz w:val="16"/>
          <w:szCs w:val="16"/>
        </w:rPr>
      </w:pPr>
    </w:p>
    <w:p w:rsidR="001A5B77" w:rsidRDefault="001A5B77" w:rsidP="004D3B4A">
      <w:pPr>
        <w:pStyle w:val="Zkladntext"/>
        <w:rPr>
          <w:sz w:val="16"/>
          <w:szCs w:val="16"/>
        </w:rPr>
      </w:pPr>
    </w:p>
    <w:p w:rsidR="004D3B4A" w:rsidRDefault="004D3B4A" w:rsidP="00251BF2">
      <w:pPr>
        <w:pStyle w:val="Pismenka"/>
        <w:tabs>
          <w:tab w:val="clear" w:pos="426"/>
        </w:tabs>
        <w:ind w:left="426"/>
      </w:pPr>
      <w:r>
        <w:t>Deriváty</w:t>
      </w:r>
    </w:p>
    <w:p w:rsidR="004D3B4A" w:rsidRDefault="004D3B4A" w:rsidP="004D3B4A">
      <w:pPr>
        <w:pStyle w:val="Zkladntext"/>
      </w:pPr>
      <w:r>
        <w:t>Deriváty sa oceňujú reálnou hodnotou.</w:t>
      </w:r>
    </w:p>
    <w:p w:rsidR="004D3B4A" w:rsidRDefault="004D3B4A" w:rsidP="004D3B4A">
      <w:pPr>
        <w:pStyle w:val="Zkladntext"/>
      </w:pPr>
      <w:r>
        <w:t>Zmeny reálnych hodnôt zabezpečovacích derivátov sa účtujú bez vplyvu na výsledok hospodárenia, priamo do vlastného imania.</w:t>
      </w:r>
    </w:p>
    <w:p w:rsidR="004D3B4A" w:rsidRDefault="004D3B4A" w:rsidP="004D3B4A">
      <w:pPr>
        <w:pStyle w:val="Zkladntext"/>
      </w:pPr>
      <w:r>
        <w:t>Zmeny reálnych hodnôt derivátov určených na obchodovanie na tuzemskej burze, zahraničnej burze alebo</w:t>
      </w:r>
      <w:r w:rsidR="00CF2FC7">
        <w:t xml:space="preserve"> na</w:t>
      </w:r>
      <w:r>
        <w:t xml:space="preserve"> inom verejnom trhu sa účtujú s vplyvom na výsledok hospodárenia.</w:t>
      </w:r>
    </w:p>
    <w:p w:rsidR="004D3B4A" w:rsidRDefault="004D3B4A" w:rsidP="004D3B4A">
      <w:pPr>
        <w:pStyle w:val="Zkladntext"/>
      </w:pPr>
      <w:r>
        <w:t>Zmeny reálnych hodnôt derivátov určených na obchodovanie na neverejnom trhu sa účtujú bez vplyvu na výsledok hospodárenia, priamo do vlastného imania.</w:t>
      </w:r>
    </w:p>
    <w:p w:rsidR="001A5B77" w:rsidRPr="006201DD" w:rsidRDefault="001A5B77" w:rsidP="004D3B4A">
      <w:pPr>
        <w:pStyle w:val="Zkladntext"/>
      </w:pPr>
    </w:p>
    <w:p w:rsidR="004D3B4A" w:rsidRDefault="004D3B4A" w:rsidP="00251BF2">
      <w:pPr>
        <w:pStyle w:val="Pismenka"/>
        <w:tabs>
          <w:tab w:val="clear" w:pos="426"/>
        </w:tabs>
        <w:ind w:left="426"/>
      </w:pPr>
      <w:r>
        <w:t>Majetok a záväzky zabezpečené derivátmi</w:t>
      </w:r>
    </w:p>
    <w:p w:rsidR="004D3B4A" w:rsidRDefault="004D3B4A" w:rsidP="004D3B4A">
      <w:pPr>
        <w:pStyle w:val="Zkladntext"/>
      </w:pPr>
      <w:r>
        <w:t xml:space="preserve">Majetok a záväzky zabezpečené derivátmi sa oceňujú reálnou hodnotou. Zmeny reálnych hodnôt majetku a záväzkov zabezpečených derivátmi sa účtujú bez vplyvu na výsledok hospodárenia, priamo do vlastného imania. </w:t>
      </w:r>
    </w:p>
    <w:p w:rsidR="004D3B4A" w:rsidRDefault="004D3B4A" w:rsidP="004D3B4A">
      <w:pPr>
        <w:pStyle w:val="Zkladntext"/>
        <w:rPr>
          <w:sz w:val="16"/>
          <w:szCs w:val="16"/>
        </w:rPr>
      </w:pPr>
    </w:p>
    <w:p w:rsidR="001A5B77" w:rsidRPr="00B1412B" w:rsidRDefault="001A5B77" w:rsidP="004D3B4A">
      <w:pPr>
        <w:pStyle w:val="Zkladntext"/>
        <w:rPr>
          <w:sz w:val="16"/>
          <w:szCs w:val="16"/>
        </w:rPr>
      </w:pPr>
    </w:p>
    <w:p w:rsidR="004D3B4A" w:rsidRDefault="004D3B4A" w:rsidP="00251BF2">
      <w:pPr>
        <w:pStyle w:val="Pismenka"/>
        <w:tabs>
          <w:tab w:val="clear" w:pos="426"/>
        </w:tabs>
        <w:ind w:left="426"/>
      </w:pPr>
      <w:r>
        <w:t>Cudzia mena</w:t>
      </w:r>
    </w:p>
    <w:p w:rsidR="004D3B4A" w:rsidRDefault="004D3B4A" w:rsidP="004D3B4A">
      <w:pPr>
        <w:pStyle w:val="Zkladntext"/>
      </w:pPr>
      <w:r w:rsidRPr="00194BFD">
        <w:t xml:space="preserve">Majetok a záväzky vyjadrené v cudzej mene sa ku dňu uskutočnenia účtovného prípadu </w:t>
      </w:r>
      <w:r>
        <w:t xml:space="preserve">prepočítavajú na menu euro referenčným výmenným </w:t>
      </w:r>
      <w:r w:rsidRPr="00194BFD">
        <w:t>kurzom</w:t>
      </w:r>
      <w:r>
        <w:t xml:space="preserve"> určeným a vyhláseným Európskou centrálnou bankou alebo Národnou bankou Slovenska v deň predchádzajúci dňu uskutočnenia účtovného prípadu. </w:t>
      </w:r>
    </w:p>
    <w:p w:rsidR="004D3B4A" w:rsidRDefault="004D3B4A" w:rsidP="004D3B4A">
      <w:pPr>
        <w:pStyle w:val="Zkladntext"/>
      </w:pPr>
    </w:p>
    <w:p w:rsidR="004D3B4A" w:rsidRDefault="004D3B4A" w:rsidP="004D3B4A">
      <w:pPr>
        <w:pStyle w:val="Zkladntext"/>
      </w:pPr>
      <w:r w:rsidRPr="00194BFD">
        <w:t>Majetok a záväzky vyjadrené v cudzej mene (</w:t>
      </w:r>
      <w:r>
        <w:t>okrem</w:t>
      </w:r>
      <w:r w:rsidRPr="00194BFD">
        <w:t xml:space="preserve"> prijatých a poskytnutých preddavkov) sa ku dňu, ku ktorému</w:t>
      </w:r>
      <w:r>
        <w:t xml:space="preserve"> sa</w:t>
      </w:r>
      <w:r w:rsidRPr="00194BFD">
        <w:t xml:space="preserve"> zostavuje účtovná závierka</w:t>
      </w:r>
      <w:r>
        <w:t>,</w:t>
      </w:r>
      <w:r w:rsidRPr="00194BFD">
        <w:t xml:space="preserve"> prepočítavajú na </w:t>
      </w:r>
      <w:r>
        <w:t xml:space="preserve">menu euro referenčným výmenným </w:t>
      </w:r>
      <w:r w:rsidRPr="00194BFD">
        <w:t xml:space="preserve">kurzom </w:t>
      </w:r>
      <w:r>
        <w:t>určeným a vyhláseným Európskou centrálnou bankou alebo Národnou bankou Slovenska v deň, ku ktorému sa zostavuje účtovná závierka,</w:t>
      </w:r>
      <w:r w:rsidRPr="00194BFD">
        <w:t xml:space="preserve"> a účtujú sa s vplyvom na výsledok hospodárenia. </w:t>
      </w:r>
    </w:p>
    <w:p w:rsidR="00BB2336" w:rsidRDefault="00BB2336" w:rsidP="001A5B77">
      <w:pPr>
        <w:pStyle w:val="Zkladntext"/>
        <w:ind w:left="0"/>
      </w:pPr>
    </w:p>
    <w:p w:rsidR="004D3B4A" w:rsidRDefault="00BB2336" w:rsidP="004D3B4A">
      <w:pPr>
        <w:pStyle w:val="Zkladntext"/>
      </w:pPr>
      <w:r>
        <w:t>Prijaté a poskytnuté preddavky sa k</w:t>
      </w:r>
      <w:r w:rsidR="004D3B4A">
        <w:t xml:space="preserve">u dňu, ku ktorému sa zostavuje účtovná závierka, na menu euro už neprepočítavajú. </w:t>
      </w:r>
    </w:p>
    <w:p w:rsidR="004D3B4A" w:rsidRDefault="004D3B4A" w:rsidP="004D3B4A">
      <w:pPr>
        <w:pStyle w:val="Zkladntext"/>
      </w:pPr>
    </w:p>
    <w:p w:rsidR="001A5B77" w:rsidRDefault="001A5B77" w:rsidP="004D3B4A">
      <w:pPr>
        <w:pStyle w:val="Zkladntext"/>
      </w:pPr>
    </w:p>
    <w:p w:rsidR="004D3B4A" w:rsidRDefault="004D3B4A" w:rsidP="00251BF2">
      <w:pPr>
        <w:pStyle w:val="Pismenka"/>
        <w:tabs>
          <w:tab w:val="clear" w:pos="426"/>
        </w:tabs>
        <w:ind w:left="426"/>
      </w:pPr>
      <w:r>
        <w:t>Výnosy</w:t>
      </w:r>
    </w:p>
    <w:p w:rsidR="004D3B4A" w:rsidRDefault="004D3B4A" w:rsidP="004D3B4A">
      <w:pPr>
        <w:pStyle w:val="Zkladntext"/>
      </w:pPr>
      <w:r>
        <w:t>Tržby za vlastné výkony a tovar neobsahujú daň z pridanej hodnoty. Sú tiež znížené o zľavy a zrážky (rabaty, bonusy, skontá, dobropisy a pod.), bez ohľadu na to, či zákazník mal vopred na zľavu nárok, alebo či ide o dodatočne uznanú zľavu.</w:t>
      </w:r>
    </w:p>
    <w:p w:rsidR="005241DE" w:rsidRDefault="005241DE" w:rsidP="004D3B4A">
      <w:pPr>
        <w:pStyle w:val="Zkladntext"/>
      </w:pPr>
    </w:p>
    <w:p w:rsidR="00A82773" w:rsidRDefault="00A82773" w:rsidP="004D3B4A">
      <w:pPr>
        <w:pStyle w:val="Zkladntext"/>
      </w:pPr>
    </w:p>
    <w:p w:rsidR="00A82773" w:rsidRDefault="005241DE" w:rsidP="005241DE">
      <w:pPr>
        <w:pStyle w:val="Zkladntext"/>
        <w:numPr>
          <w:ilvl w:val="0"/>
          <w:numId w:val="37"/>
        </w:numPr>
        <w:jc w:val="left"/>
        <w:rPr>
          <w:b/>
        </w:rPr>
      </w:pPr>
      <w:r w:rsidRPr="005241DE">
        <w:rPr>
          <w:b/>
        </w:rPr>
        <w:t>INFORMÁCIE, KTOR</w:t>
      </w:r>
      <w:r>
        <w:rPr>
          <w:b/>
        </w:rPr>
        <w:t>É</w:t>
      </w:r>
      <w:r w:rsidRPr="005241DE">
        <w:rPr>
          <w:b/>
        </w:rPr>
        <w:t xml:space="preserve"> VYSVETĽUJU A DOPL</w:t>
      </w:r>
      <w:r>
        <w:rPr>
          <w:b/>
        </w:rPr>
        <w:t>ŇAJÚ</w:t>
      </w:r>
      <w:r w:rsidRPr="005241DE">
        <w:rPr>
          <w:b/>
        </w:rPr>
        <w:t xml:space="preserve"> POLO</w:t>
      </w:r>
      <w:r>
        <w:rPr>
          <w:b/>
        </w:rPr>
        <w:t>Ž</w:t>
      </w:r>
      <w:r w:rsidRPr="005241DE">
        <w:rPr>
          <w:b/>
        </w:rPr>
        <w:t>KY S</w:t>
      </w:r>
      <w:r>
        <w:rPr>
          <w:b/>
        </w:rPr>
        <w:t>ÚVA</w:t>
      </w:r>
      <w:r w:rsidRPr="005241DE">
        <w:rPr>
          <w:b/>
        </w:rPr>
        <w:t>HY</w:t>
      </w:r>
    </w:p>
    <w:p w:rsidR="005241DE" w:rsidRPr="005241DE" w:rsidRDefault="005241DE" w:rsidP="005241DE">
      <w:pPr>
        <w:pStyle w:val="Zkladntext"/>
        <w:ind w:left="720"/>
        <w:jc w:val="left"/>
        <w:rPr>
          <w:b/>
        </w:rPr>
      </w:pPr>
    </w:p>
    <w:p w:rsidR="004D3B4A" w:rsidRDefault="004D3B4A" w:rsidP="00C02C96">
      <w:pPr>
        <w:pStyle w:val="Nadpis2"/>
        <w:numPr>
          <w:ilvl w:val="0"/>
          <w:numId w:val="25"/>
        </w:numPr>
        <w:tabs>
          <w:tab w:val="clear" w:pos="360"/>
          <w:tab w:val="num" w:pos="426"/>
        </w:tabs>
      </w:pPr>
      <w:bookmarkStart w:id="7" w:name="_Toc530739901"/>
      <w:r>
        <w:t>Dlhodobý nehmotný majetok a dlhodobý hmotný majetok</w:t>
      </w:r>
      <w:bookmarkEnd w:id="7"/>
    </w:p>
    <w:p w:rsidR="004D3B4A" w:rsidRPr="00B1412B" w:rsidRDefault="004D3B4A" w:rsidP="004D3B4A">
      <w:pPr>
        <w:pStyle w:val="Zkladntext"/>
        <w:rPr>
          <w:sz w:val="16"/>
          <w:szCs w:val="16"/>
        </w:rPr>
      </w:pPr>
    </w:p>
    <w:p w:rsidR="001A5B77" w:rsidRDefault="004D3B4A" w:rsidP="004D3B4A">
      <w:pPr>
        <w:pStyle w:val="Zkladntext"/>
        <w:rPr>
          <w:szCs w:val="18"/>
        </w:rPr>
      </w:pPr>
      <w:r>
        <w:t>Prehľad o pohybe dlhodobého majet</w:t>
      </w:r>
      <w:r w:rsidR="008E56EC">
        <w:t>ku od 1. januára 201</w:t>
      </w:r>
      <w:r w:rsidR="006E00BC">
        <w:t>7</w:t>
      </w:r>
      <w:r w:rsidR="008E56EC">
        <w:t xml:space="preserve"> do </w:t>
      </w:r>
      <w:r>
        <w:t xml:space="preserve">31. </w:t>
      </w:r>
      <w:r w:rsidRPr="00C24B6B">
        <w:t>decembra 201</w:t>
      </w:r>
      <w:r w:rsidR="006E00BC">
        <w:t>7</w:t>
      </w:r>
      <w:r w:rsidRPr="00C24B6B">
        <w:t xml:space="preserve"> a za porovnateľné obdobie od 1. januára 201</w:t>
      </w:r>
      <w:r w:rsidR="006E00BC">
        <w:t>6</w:t>
      </w:r>
      <w:r w:rsidRPr="00C24B6B">
        <w:t xml:space="preserve"> do 31. decembra 201</w:t>
      </w:r>
      <w:r w:rsidR="006E00BC">
        <w:t>6</w:t>
      </w:r>
      <w:r w:rsidRPr="00C24B6B">
        <w:t xml:space="preserve"> je uvedený v</w:t>
      </w:r>
      <w:r w:rsidR="002225DB">
        <w:t xml:space="preserve"> nasledujúcich </w:t>
      </w:r>
      <w:r w:rsidRPr="00C24B6B">
        <w:t>tabuľk</w:t>
      </w:r>
      <w:r w:rsidR="00887683" w:rsidRPr="00C24B6B">
        <w:t>ách</w:t>
      </w:r>
      <w:r w:rsidR="002225DB">
        <w:t>.</w:t>
      </w:r>
      <w:r w:rsidR="008E56EC">
        <w:t xml:space="preserve"> Dlhodobý nehmotný majetok spoločnosť nevlastni.</w:t>
      </w:r>
      <w:bookmarkStart w:id="8" w:name="_MON_1487886620"/>
      <w:bookmarkEnd w:id="8"/>
      <w:r w:rsidR="00305E46">
        <w:object w:dxaOrig="12586" w:dyaOrig="8684">
          <v:shape id="_x0000_i1026" type="#_x0000_t75" style="width:448.5pt;height:339.75pt" o:ole="">
            <v:imagedata r:id="rId10" o:title=""/>
          </v:shape>
          <o:OLEObject Type="Embed" ProgID="Excel.Sheet.12" ShapeID="_x0000_i1026" DrawAspect="Content" ObjectID="_1587205907" r:id="rId11"/>
        </w:object>
      </w:r>
      <w:bookmarkStart w:id="9" w:name="_MON_1487887203"/>
      <w:bookmarkEnd w:id="9"/>
      <w:r w:rsidR="00305E46">
        <w:object w:dxaOrig="12586" w:dyaOrig="8684">
          <v:shape id="_x0000_i1027" type="#_x0000_t75" style="width:451.5pt;height:357pt" o:ole="">
            <v:imagedata r:id="rId12" o:title=""/>
          </v:shape>
          <o:OLEObject Type="Embed" ProgID="Excel.Sheet.12" ShapeID="_x0000_i1027" DrawAspect="Content" ObjectID="_1587205908" r:id="rId13"/>
        </w:object>
      </w:r>
      <w:r w:rsidR="001A5B77">
        <w:rPr>
          <w:szCs w:val="18"/>
        </w:rPr>
        <w:t>Dlhodobý hmotný majetok nie je predmetom záložného práva.</w:t>
      </w:r>
    </w:p>
    <w:p w:rsidR="001A5B77" w:rsidRDefault="001A5B77" w:rsidP="004D3B4A">
      <w:pPr>
        <w:pStyle w:val="Zkladntext"/>
        <w:rPr>
          <w:szCs w:val="18"/>
        </w:rPr>
      </w:pPr>
    </w:p>
    <w:p w:rsidR="002130D8" w:rsidRPr="002130D8" w:rsidRDefault="00AD6758" w:rsidP="004D3B4A">
      <w:pPr>
        <w:pStyle w:val="Zkladntext"/>
        <w:rPr>
          <w:szCs w:val="18"/>
        </w:rPr>
      </w:pPr>
      <w:r w:rsidRPr="00AD6758">
        <w:rPr>
          <w:szCs w:val="18"/>
        </w:rPr>
        <w:t>Údaje o záložných právach</w:t>
      </w:r>
      <w:r w:rsidR="002130D8">
        <w:rPr>
          <w:szCs w:val="18"/>
        </w:rPr>
        <w:t xml:space="preserve"> k dlhodobému hmotnému majetku</w:t>
      </w:r>
      <w:r w:rsidRPr="00AD6758">
        <w:rPr>
          <w:szCs w:val="18"/>
        </w:rPr>
        <w:t xml:space="preserve"> sú uvedené v nasledujúcom prehľade: </w:t>
      </w:r>
    </w:p>
    <w:p w:rsidR="002130D8" w:rsidRDefault="002130D8" w:rsidP="004D3B4A">
      <w:pPr>
        <w:pStyle w:val="Zkladntext"/>
        <w:rPr>
          <w:szCs w:val="18"/>
        </w:rPr>
      </w:pPr>
    </w:p>
    <w:bookmarkStart w:id="10" w:name="_MON_1487888063"/>
    <w:bookmarkEnd w:id="10"/>
    <w:p w:rsidR="004D3B4A" w:rsidRDefault="00EB1BB0" w:rsidP="004D3B4A">
      <w:pPr>
        <w:pStyle w:val="Zkladntext"/>
      </w:pPr>
      <w:r w:rsidRPr="00157F91">
        <w:rPr>
          <w:b/>
        </w:rPr>
        <w:object w:dxaOrig="9334" w:dyaOrig="1436">
          <v:shape id="_x0000_i1028" type="#_x0000_t75" style="width:440.25pt;height:74.25pt" o:ole="" o:preferrelative="f">
            <v:imagedata r:id="rId14" o:title=""/>
            <o:lock v:ext="edit" aspectratio="f"/>
          </v:shape>
          <o:OLEObject Type="Embed" ProgID="Excel.Sheet.12" ShapeID="_x0000_i1028" DrawAspect="Content" ObjectID="_1587205909" r:id="rId15"/>
        </w:object>
      </w:r>
      <w:r w:rsidR="004D3B4A" w:rsidRPr="00157F91">
        <w:rPr>
          <w:b/>
        </w:rPr>
        <w:t>Dlhodobý hmotný majetok je poistený pre prípad škôd</w:t>
      </w:r>
      <w:r w:rsidR="004D3B4A">
        <w:t xml:space="preserve"> spôsobených krádežou a živelnou pohromou až do výšky </w:t>
      </w:r>
      <w:r w:rsidR="004D3B4A">
        <w:br/>
      </w:r>
      <w:r w:rsidR="00621CC0">
        <w:t>700.000,-</w:t>
      </w:r>
      <w:r w:rsidR="004D3B4A">
        <w:t>. EUR</w:t>
      </w:r>
      <w:r w:rsidR="00621CC0">
        <w:t>.</w:t>
      </w:r>
      <w:r w:rsidR="00577BFD">
        <w:t xml:space="preserve"> Samostatne sú poistené dopravné prostriedky spoločnosti.</w:t>
      </w:r>
    </w:p>
    <w:p w:rsidR="004D3B4A" w:rsidRDefault="004D3B4A" w:rsidP="004D3B4A">
      <w:pPr>
        <w:pStyle w:val="Zkladntext"/>
        <w:ind w:left="0"/>
      </w:pPr>
    </w:p>
    <w:p w:rsidR="001A5B77" w:rsidRDefault="001A5B77" w:rsidP="004D3B4A">
      <w:pPr>
        <w:pStyle w:val="Zkladntext"/>
        <w:ind w:left="0"/>
      </w:pPr>
    </w:p>
    <w:p w:rsidR="00A82773" w:rsidRDefault="00A82773" w:rsidP="004D3B4A">
      <w:pPr>
        <w:pStyle w:val="Zkladntext"/>
        <w:ind w:left="0"/>
      </w:pPr>
    </w:p>
    <w:p w:rsidR="00A82773" w:rsidRDefault="00A82773" w:rsidP="004D3B4A">
      <w:pPr>
        <w:pStyle w:val="Zkladntext"/>
        <w:ind w:left="0"/>
      </w:pPr>
    </w:p>
    <w:p w:rsidR="00A82773" w:rsidRDefault="00A82773" w:rsidP="004D3B4A">
      <w:pPr>
        <w:pStyle w:val="Zkladntext"/>
        <w:ind w:left="0"/>
      </w:pPr>
    </w:p>
    <w:p w:rsidR="00A82773" w:rsidRDefault="00A82773" w:rsidP="004D3B4A">
      <w:pPr>
        <w:pStyle w:val="Zkladntext"/>
        <w:ind w:left="0"/>
      </w:pPr>
    </w:p>
    <w:p w:rsidR="00A82773" w:rsidRDefault="00A82773" w:rsidP="004D3B4A">
      <w:pPr>
        <w:pStyle w:val="Zkladntext"/>
        <w:ind w:left="0"/>
      </w:pPr>
    </w:p>
    <w:p w:rsidR="00A82773" w:rsidRDefault="00A82773" w:rsidP="004D3B4A">
      <w:pPr>
        <w:pStyle w:val="Zkladntext"/>
        <w:ind w:left="0"/>
      </w:pPr>
    </w:p>
    <w:p w:rsidR="00A82773" w:rsidRDefault="00A82773" w:rsidP="004D3B4A">
      <w:pPr>
        <w:pStyle w:val="Zkladntext"/>
        <w:ind w:left="0"/>
      </w:pPr>
    </w:p>
    <w:p w:rsidR="00A82773" w:rsidRDefault="00A82773" w:rsidP="004D3B4A">
      <w:pPr>
        <w:pStyle w:val="Zkladntext"/>
        <w:ind w:left="0"/>
      </w:pPr>
    </w:p>
    <w:p w:rsidR="00A82773" w:rsidRDefault="00A82773" w:rsidP="004D3B4A">
      <w:pPr>
        <w:pStyle w:val="Zkladntext"/>
        <w:ind w:left="0"/>
      </w:pPr>
    </w:p>
    <w:p w:rsidR="00A82773" w:rsidRDefault="00A82773" w:rsidP="004D3B4A">
      <w:pPr>
        <w:pStyle w:val="Zkladntext"/>
        <w:ind w:left="0"/>
      </w:pPr>
    </w:p>
    <w:p w:rsidR="00A82773" w:rsidRDefault="00A82773" w:rsidP="004D3B4A">
      <w:pPr>
        <w:pStyle w:val="Zkladntext"/>
        <w:ind w:left="0"/>
      </w:pPr>
    </w:p>
    <w:p w:rsidR="00A82773" w:rsidRDefault="00A82773" w:rsidP="004D3B4A">
      <w:pPr>
        <w:pStyle w:val="Zkladntext"/>
        <w:ind w:left="0"/>
      </w:pPr>
    </w:p>
    <w:p w:rsidR="00A82773" w:rsidRDefault="00A82773" w:rsidP="004D3B4A">
      <w:pPr>
        <w:pStyle w:val="Zkladntext"/>
        <w:ind w:left="0"/>
      </w:pPr>
    </w:p>
    <w:p w:rsidR="00A82773" w:rsidRDefault="00A82773" w:rsidP="004D3B4A">
      <w:pPr>
        <w:pStyle w:val="Zkladntext"/>
        <w:ind w:left="0"/>
      </w:pPr>
    </w:p>
    <w:p w:rsidR="00A82773" w:rsidRDefault="00A82773" w:rsidP="004D3B4A">
      <w:pPr>
        <w:pStyle w:val="Zkladntext"/>
        <w:ind w:left="0"/>
      </w:pPr>
    </w:p>
    <w:p w:rsidR="004D3B4A" w:rsidRDefault="004D3B4A" w:rsidP="004D3B4A">
      <w:pPr>
        <w:pStyle w:val="Nadpis2"/>
        <w:numPr>
          <w:ilvl w:val="0"/>
          <w:numId w:val="2"/>
        </w:numPr>
      </w:pPr>
      <w:r>
        <w:lastRenderedPageBreak/>
        <w:t>Dlhodobý finančný majetok</w:t>
      </w:r>
    </w:p>
    <w:p w:rsidR="004D3B4A" w:rsidRDefault="004D3B4A" w:rsidP="004D3B4A">
      <w:pPr>
        <w:pStyle w:val="Zkladntext"/>
      </w:pPr>
    </w:p>
    <w:p w:rsidR="004409F5" w:rsidRDefault="004409F5" w:rsidP="004409F5">
      <w:pPr>
        <w:pStyle w:val="Zkladntext"/>
      </w:pPr>
      <w:r>
        <w:t>Prehľad o pohybe dlhodobého finančného majetku od 1. januára 201</w:t>
      </w:r>
      <w:r w:rsidR="00D81195">
        <w:t>7</w:t>
      </w:r>
      <w:r>
        <w:t xml:space="preserve"> do 31. decembra 201</w:t>
      </w:r>
      <w:r w:rsidR="00D81195">
        <w:t>7</w:t>
      </w:r>
      <w:r>
        <w:t xml:space="preserve"> a za porovnateľné obdobie od 1. januára 201</w:t>
      </w:r>
      <w:r w:rsidR="00D81195">
        <w:t>6</w:t>
      </w:r>
      <w:r>
        <w:t xml:space="preserve"> do 31. decembra 201</w:t>
      </w:r>
      <w:r w:rsidR="00D81195">
        <w:t>6</w:t>
      </w:r>
      <w:r>
        <w:t xml:space="preserve"> je uvedený</w:t>
      </w:r>
      <w:r w:rsidR="00655BD8">
        <w:t xml:space="preserve"> nižšie</w:t>
      </w:r>
      <w:r w:rsidR="00F30259">
        <w:t>.</w:t>
      </w:r>
    </w:p>
    <w:p w:rsidR="004409F5" w:rsidRDefault="004409F5" w:rsidP="004409F5">
      <w:pPr>
        <w:pStyle w:val="Zkladntext"/>
      </w:pPr>
    </w:p>
    <w:p w:rsidR="00655BD8" w:rsidRDefault="00655BD8" w:rsidP="004409F5">
      <w:pPr>
        <w:pStyle w:val="Zkladntext"/>
      </w:pPr>
    </w:p>
    <w:bookmarkStart w:id="11" w:name="_MON_1487888792"/>
    <w:bookmarkEnd w:id="11"/>
    <w:p w:rsidR="00655BD8" w:rsidRDefault="00AC268A" w:rsidP="004659D3">
      <w:pPr>
        <w:pStyle w:val="Zkladntext"/>
        <w:ind w:left="0"/>
      </w:pPr>
      <w:r>
        <w:object w:dxaOrig="12668" w:dyaOrig="7581">
          <v:shape id="_x0000_i1029" type="#_x0000_t75" style="width:482.25pt;height:291pt" o:ole="">
            <v:imagedata r:id="rId16" o:title=""/>
          </v:shape>
          <o:OLEObject Type="Embed" ProgID="Excel.Sheet.12" ShapeID="_x0000_i1029" DrawAspect="Content" ObjectID="_1587205910" r:id="rId17"/>
        </w:object>
      </w:r>
    </w:p>
    <w:p w:rsidR="00655BD8" w:rsidRDefault="00655BD8" w:rsidP="004409F5">
      <w:pPr>
        <w:pStyle w:val="Zkladntext"/>
      </w:pPr>
    </w:p>
    <w:bookmarkStart w:id="12" w:name="_MON_1487888892"/>
    <w:bookmarkEnd w:id="12"/>
    <w:p w:rsidR="00655BD8" w:rsidRDefault="00AC268A" w:rsidP="004659D3">
      <w:pPr>
        <w:pStyle w:val="Zkladntext"/>
        <w:ind w:left="0"/>
      </w:pPr>
      <w:r>
        <w:object w:dxaOrig="12668" w:dyaOrig="7290">
          <v:shape id="_x0000_i1030" type="#_x0000_t75" style="width:482.25pt;height:284.25pt" o:ole="">
            <v:imagedata r:id="rId18" o:title=""/>
          </v:shape>
          <o:OLEObject Type="Embed" ProgID="Excel.Sheet.12" ShapeID="_x0000_i1030" DrawAspect="Content" ObjectID="_1587205911" r:id="rId19"/>
        </w:object>
      </w:r>
    </w:p>
    <w:p w:rsidR="00E57A51" w:rsidRDefault="00E57A51" w:rsidP="00E57A51">
      <w:pPr>
        <w:pStyle w:val="Zkladntext"/>
      </w:pPr>
      <w:r>
        <w:t>Na dlhodobý finančný majetok nie je zriadené záložné právo a Spoločnosť ním môže voľne disponovať.</w:t>
      </w:r>
    </w:p>
    <w:p w:rsidR="00E57A51" w:rsidRDefault="00E57A51" w:rsidP="00E57A51">
      <w:pPr>
        <w:pStyle w:val="Zkladntext"/>
        <w:ind w:left="0" w:firstLine="426"/>
      </w:pPr>
      <w:r w:rsidRPr="003A2714">
        <w:lastRenderedPageBreak/>
        <w:t xml:space="preserve">K akciám spoločnosti STOTES-PP </w:t>
      </w:r>
      <w:proofErr w:type="spellStart"/>
      <w:r w:rsidRPr="003A2714">
        <w:t>a.s</w:t>
      </w:r>
      <w:proofErr w:type="spellEnd"/>
      <w:r w:rsidRPr="003A2714">
        <w:t>. bola</w:t>
      </w:r>
      <w:r w:rsidR="008C0287">
        <w:t xml:space="preserve"> v roku 2014</w:t>
      </w:r>
      <w:r w:rsidRPr="003A2714">
        <w:t xml:space="preserve"> vytvorená 100% </w:t>
      </w:r>
      <w:r>
        <w:t>opravná položka.</w:t>
      </w:r>
    </w:p>
    <w:p w:rsidR="00E57A51" w:rsidRDefault="00E57A51" w:rsidP="00612ED2">
      <w:pPr>
        <w:pStyle w:val="Zkladntext"/>
        <w:rPr>
          <w:szCs w:val="18"/>
        </w:rPr>
      </w:pPr>
    </w:p>
    <w:p w:rsidR="001D1700" w:rsidRDefault="001D1700" w:rsidP="00612ED2">
      <w:pPr>
        <w:pStyle w:val="Zkladntext"/>
        <w:rPr>
          <w:szCs w:val="18"/>
        </w:rPr>
      </w:pPr>
    </w:p>
    <w:p w:rsidR="00612ED2" w:rsidRPr="00B50225" w:rsidRDefault="00612ED2" w:rsidP="00612ED2">
      <w:pPr>
        <w:pStyle w:val="Zkladntext"/>
        <w:rPr>
          <w:szCs w:val="18"/>
        </w:rPr>
      </w:pPr>
      <w:r w:rsidRPr="00B50225">
        <w:rPr>
          <w:szCs w:val="18"/>
        </w:rPr>
        <w:t>Výška vlastného imania k 31. decembru 201</w:t>
      </w:r>
      <w:r w:rsidR="00D81195">
        <w:rPr>
          <w:szCs w:val="18"/>
        </w:rPr>
        <w:t>7</w:t>
      </w:r>
      <w:r w:rsidRPr="00B50225">
        <w:rPr>
          <w:szCs w:val="18"/>
        </w:rPr>
        <w:t xml:space="preserve"> a výsledk</w:t>
      </w:r>
      <w:r w:rsidR="001A70E8">
        <w:rPr>
          <w:szCs w:val="18"/>
        </w:rPr>
        <w:t>u</w:t>
      </w:r>
      <w:r w:rsidRPr="00B50225">
        <w:rPr>
          <w:szCs w:val="18"/>
        </w:rPr>
        <w:t xml:space="preserve"> hosp</w:t>
      </w:r>
      <w:r w:rsidR="008C0287">
        <w:rPr>
          <w:szCs w:val="18"/>
        </w:rPr>
        <w:t>odárenia za účtovné obdobie 201</w:t>
      </w:r>
      <w:r w:rsidR="00D81195">
        <w:rPr>
          <w:szCs w:val="18"/>
        </w:rPr>
        <w:t>7</w:t>
      </w:r>
      <w:r w:rsidR="008C0287">
        <w:rPr>
          <w:szCs w:val="18"/>
        </w:rPr>
        <w:t xml:space="preserve"> </w:t>
      </w:r>
      <w:r w:rsidRPr="00B50225">
        <w:rPr>
          <w:szCs w:val="18"/>
        </w:rPr>
        <w:t>podnikov</w:t>
      </w:r>
      <w:r>
        <w:rPr>
          <w:szCs w:val="18"/>
        </w:rPr>
        <w:t xml:space="preserve"> ktorých akcie Spoločnosť vlastní </w:t>
      </w:r>
      <w:r w:rsidRPr="00B50225">
        <w:rPr>
          <w:szCs w:val="18"/>
        </w:rPr>
        <w:t xml:space="preserve"> je uvedená v nasledujúcom prehľade:</w:t>
      </w:r>
    </w:p>
    <w:bookmarkStart w:id="13" w:name="_MON_1392805136"/>
    <w:bookmarkEnd w:id="13"/>
    <w:p w:rsidR="00DD43AB" w:rsidRPr="006B6813" w:rsidRDefault="00A0197B" w:rsidP="00DD43AB">
      <w:pPr>
        <w:spacing w:after="200" w:line="276" w:lineRule="auto"/>
        <w:ind w:left="426"/>
        <w:rPr>
          <w:sz w:val="18"/>
        </w:rPr>
      </w:pPr>
      <w:r w:rsidRPr="006B6813">
        <w:object w:dxaOrig="10096" w:dyaOrig="5964">
          <v:shape id="_x0000_i1031" type="#_x0000_t75" style="width:452.25pt;height:282pt" o:ole="" o:preferrelative="f">
            <v:imagedata r:id="rId20" o:title=""/>
            <o:lock v:ext="edit" aspectratio="f"/>
          </v:shape>
          <o:OLEObject Type="Embed" ProgID="Excel.Sheet.12" ShapeID="_x0000_i1031" DrawAspect="Content" ObjectID="_1587205912" r:id="rId21"/>
        </w:object>
      </w:r>
      <w:r w:rsidR="00DD43AB" w:rsidRPr="00DD43AB">
        <w:rPr>
          <w:sz w:val="18"/>
        </w:rPr>
        <w:t xml:space="preserve"> </w:t>
      </w:r>
      <w:r w:rsidR="00DD43AB" w:rsidRPr="006B6813">
        <w:rPr>
          <w:sz w:val="18"/>
        </w:rPr>
        <w:t>Výška vlastného imania k 31. decembru 201</w:t>
      </w:r>
      <w:r w:rsidR="005B0AD9">
        <w:rPr>
          <w:sz w:val="18"/>
        </w:rPr>
        <w:t>6</w:t>
      </w:r>
      <w:r w:rsidR="00DD43AB">
        <w:rPr>
          <w:sz w:val="18"/>
        </w:rPr>
        <w:t xml:space="preserve"> </w:t>
      </w:r>
      <w:r w:rsidR="00DD43AB" w:rsidRPr="006B6813">
        <w:rPr>
          <w:sz w:val="18"/>
        </w:rPr>
        <w:t>a výsledku hospodárenia za účtovné obdobie 201</w:t>
      </w:r>
      <w:r w:rsidR="005B0AD9">
        <w:rPr>
          <w:sz w:val="18"/>
        </w:rPr>
        <w:t>6</w:t>
      </w:r>
      <w:r w:rsidR="00DD43AB" w:rsidRPr="006B6813">
        <w:rPr>
          <w:sz w:val="18"/>
        </w:rPr>
        <w:t xml:space="preserve"> </w:t>
      </w:r>
      <w:r w:rsidR="00DD43AB">
        <w:rPr>
          <w:sz w:val="18"/>
        </w:rPr>
        <w:t xml:space="preserve"> podnikov ktorých akcie Spoločnosť vlastní </w:t>
      </w:r>
      <w:r w:rsidR="00DD43AB" w:rsidRPr="006B6813">
        <w:rPr>
          <w:sz w:val="18"/>
        </w:rPr>
        <w:t>je uvedená v nasledujúcom prehľade:</w:t>
      </w:r>
    </w:p>
    <w:bookmarkStart w:id="14" w:name="_MON_1393715303"/>
    <w:bookmarkStart w:id="15" w:name="_MON_1393715349"/>
    <w:bookmarkStart w:id="16" w:name="_Toc530739903"/>
    <w:bookmarkEnd w:id="14"/>
    <w:bookmarkEnd w:id="15"/>
    <w:bookmarkStart w:id="17" w:name="_MON_1392795324"/>
    <w:bookmarkEnd w:id="17"/>
    <w:p w:rsidR="004D3B4A" w:rsidRPr="006B6813" w:rsidRDefault="00E20465" w:rsidP="004D3B4A">
      <w:pPr>
        <w:pStyle w:val="Zkladntext"/>
      </w:pPr>
      <w:r>
        <w:object w:dxaOrig="10096" w:dyaOrig="5502">
          <v:shape id="_x0000_i1032" type="#_x0000_t75" style="width:448.5pt;height:265.5pt" o:ole="" o:preferrelative="f">
            <v:imagedata r:id="rId22" o:title=""/>
            <o:lock v:ext="edit" aspectratio="f"/>
          </v:shape>
          <o:OLEObject Type="Embed" ProgID="Excel.Sheet.12" ShapeID="_x0000_i1032" DrawAspect="Content" ObjectID="_1587205913" r:id="rId23"/>
        </w:object>
      </w:r>
    </w:p>
    <w:p w:rsidR="00655BD8" w:rsidRDefault="00655BD8" w:rsidP="00655BD8"/>
    <w:p w:rsidR="008E56EC" w:rsidRDefault="008E56EC" w:rsidP="004D3B4A"/>
    <w:p w:rsidR="00850DDB" w:rsidRDefault="00850DDB" w:rsidP="004D3B4A"/>
    <w:p w:rsidR="004D3B4A" w:rsidRDefault="004D3B4A" w:rsidP="004D3B4A">
      <w:pPr>
        <w:pStyle w:val="Nadpis2"/>
        <w:numPr>
          <w:ilvl w:val="0"/>
          <w:numId w:val="2"/>
        </w:numPr>
      </w:pPr>
      <w:r w:rsidRPr="00E3042F">
        <w:lastRenderedPageBreak/>
        <w:t>Zásoby</w:t>
      </w:r>
      <w:bookmarkEnd w:id="16"/>
    </w:p>
    <w:p w:rsidR="004D3B4A" w:rsidRDefault="004D3B4A" w:rsidP="004D3B4A">
      <w:pPr>
        <w:pStyle w:val="Zkladntext"/>
      </w:pPr>
    </w:p>
    <w:p w:rsidR="007B2E7A" w:rsidRDefault="009A69A7" w:rsidP="004D3B4A">
      <w:pPr>
        <w:pStyle w:val="Zkladntext"/>
      </w:pPr>
      <w:r>
        <w:t xml:space="preserve">Situácia v zásobách </w:t>
      </w:r>
      <w:r w:rsidR="00D46E6E">
        <w:t xml:space="preserve">na základe vykonanej fyzickej inventúry </w:t>
      </w:r>
      <w:r>
        <w:t>si nevyžaduje tvorbu opravných položiek.</w:t>
      </w:r>
      <w:r w:rsidR="004D3B4A">
        <w:t xml:space="preserve">. Úžitková </w:t>
      </w:r>
      <w:r w:rsidR="003F6079">
        <w:t xml:space="preserve">a kvalitatívna </w:t>
      </w:r>
      <w:r w:rsidR="004D3B4A">
        <w:t xml:space="preserve">hodnota zásob </w:t>
      </w:r>
      <w:r>
        <w:t>ostala zachovaná.</w:t>
      </w:r>
    </w:p>
    <w:p w:rsidR="009A69A7" w:rsidRDefault="009A69A7" w:rsidP="004D3B4A">
      <w:pPr>
        <w:pStyle w:val="Zkladntext"/>
      </w:pPr>
    </w:p>
    <w:p w:rsidR="009A69A7" w:rsidRDefault="00E802E9" w:rsidP="004D3B4A">
      <w:pPr>
        <w:pStyle w:val="Zkladntext"/>
      </w:pPr>
      <w:r>
        <w:t>Na zásoby nie je zriadené žiaden záložné právo</w:t>
      </w:r>
    </w:p>
    <w:p w:rsidR="009A69A7" w:rsidRDefault="009A69A7" w:rsidP="004D3B4A">
      <w:pPr>
        <w:pStyle w:val="Zkladntext"/>
      </w:pPr>
    </w:p>
    <w:p w:rsidR="00086A82" w:rsidRDefault="00086A82" w:rsidP="004D3B4A">
      <w:pPr>
        <w:pStyle w:val="Zkladntext"/>
      </w:pPr>
    </w:p>
    <w:p w:rsidR="004D3B4A" w:rsidRDefault="004D3B4A" w:rsidP="004D3B4A">
      <w:pPr>
        <w:pStyle w:val="Nadpis2"/>
        <w:numPr>
          <w:ilvl w:val="0"/>
          <w:numId w:val="2"/>
        </w:numPr>
      </w:pPr>
      <w:r w:rsidRPr="007D5600">
        <w:t>Údaje o zákazkovej výrobe</w:t>
      </w:r>
    </w:p>
    <w:p w:rsidR="004D3B4A" w:rsidRDefault="004D3B4A" w:rsidP="004D3B4A">
      <w:pPr>
        <w:pStyle w:val="Zkladntext"/>
      </w:pPr>
    </w:p>
    <w:p w:rsidR="004D3B4A" w:rsidRDefault="009A69A7" w:rsidP="004D3B4A">
      <w:pPr>
        <w:pStyle w:val="Zkladntext"/>
      </w:pPr>
      <w:r>
        <w:t xml:space="preserve">Spoločnosť nerealizuje výrobu na základe zákaziek. Svoje produkty spoločnosť dodáva v štandardnom režime buď na základe dlhodobých zmlúv jedná sa hlavne o strategických odberateľov, alebo na základe krátkodobých objednávok alebo operatívne </w:t>
      </w:r>
      <w:r w:rsidR="00F22792">
        <w:t xml:space="preserve">predaj </w:t>
      </w:r>
      <w:r>
        <w:t>zo zásob vyrobenej produkcie uloženej na sklade výrobkov.</w:t>
      </w:r>
    </w:p>
    <w:p w:rsidR="004D3B4A" w:rsidRDefault="004D3B4A" w:rsidP="004D3B4A">
      <w:pPr>
        <w:pStyle w:val="Zkladntext"/>
      </w:pPr>
    </w:p>
    <w:p w:rsidR="005D2A89" w:rsidRDefault="00CA441D">
      <w:pPr>
        <w:pStyle w:val="Nadpis2"/>
        <w:numPr>
          <w:ilvl w:val="0"/>
          <w:numId w:val="2"/>
        </w:numPr>
      </w:pPr>
      <w:bookmarkStart w:id="18" w:name="_Toc530739904"/>
      <w:r>
        <w:t>Pohľadávky</w:t>
      </w:r>
      <w:bookmarkEnd w:id="18"/>
    </w:p>
    <w:p w:rsidR="00CA441D" w:rsidRDefault="00CA441D" w:rsidP="00CA441D">
      <w:pPr>
        <w:pStyle w:val="Zkladntext"/>
      </w:pPr>
    </w:p>
    <w:p w:rsidR="00310B30" w:rsidRDefault="00310B30" w:rsidP="00310B30">
      <w:pPr>
        <w:pStyle w:val="Zkladntext"/>
        <w:rPr>
          <w:szCs w:val="18"/>
        </w:rPr>
      </w:pPr>
      <w:r w:rsidRPr="00B50225">
        <w:rPr>
          <w:szCs w:val="18"/>
        </w:rPr>
        <w:t>Vývoj opravnej položky v priebehu účtovného obdobia je zobrazený v nasledujúcom prehľade:</w:t>
      </w:r>
    </w:p>
    <w:p w:rsidR="00F73DC8" w:rsidRPr="00B50225" w:rsidRDefault="00F73DC8" w:rsidP="00310B30">
      <w:pPr>
        <w:pStyle w:val="Zkladntext"/>
        <w:rPr>
          <w:szCs w:val="18"/>
        </w:rPr>
      </w:pPr>
    </w:p>
    <w:bookmarkStart w:id="19" w:name="_MON_1487961587"/>
    <w:bookmarkEnd w:id="19"/>
    <w:p w:rsidR="00310B30" w:rsidRDefault="00E20465" w:rsidP="00CA441D">
      <w:pPr>
        <w:pStyle w:val="Zkladntext"/>
      </w:pPr>
      <w:r>
        <w:object w:dxaOrig="8997" w:dyaOrig="3423">
          <v:shape id="_x0000_i1033" type="#_x0000_t75" style="width:442.5pt;height:171pt" o:ole="">
            <v:imagedata r:id="rId24" o:title=""/>
          </v:shape>
          <o:OLEObject Type="Embed" ProgID="Excel.Sheet.12" ShapeID="_x0000_i1033" DrawAspect="Content" ObjectID="_1587205914" r:id="rId25"/>
        </w:object>
      </w:r>
    </w:p>
    <w:p w:rsidR="00CA441D" w:rsidRDefault="00310B30" w:rsidP="00CA441D">
      <w:pPr>
        <w:pStyle w:val="Zkladntext"/>
      </w:pPr>
      <w:r>
        <w:t>Opravná položka je tvorená k pohľadávkam v konkurze a k rizikovým pohľadávkam po lehote splatnosti viac ako 360 dní a to vo výške 100% nominálnej hodnoty pohľadávok</w:t>
      </w:r>
    </w:p>
    <w:p w:rsidR="0064520D" w:rsidRPr="00395629" w:rsidRDefault="0064520D" w:rsidP="009D0700">
      <w:pPr>
        <w:pStyle w:val="Zkladntext"/>
        <w:rPr>
          <w:lang w:val="de-DE"/>
        </w:rPr>
      </w:pPr>
    </w:p>
    <w:p w:rsidR="00CA441D" w:rsidRPr="00E802E9" w:rsidRDefault="00CA441D" w:rsidP="005A3C59">
      <w:pPr>
        <w:tabs>
          <w:tab w:val="right" w:pos="9212"/>
        </w:tabs>
        <w:spacing w:after="200" w:line="276" w:lineRule="auto"/>
        <w:ind w:firstLine="426"/>
        <w:rPr>
          <w:sz w:val="18"/>
          <w:szCs w:val="18"/>
        </w:rPr>
      </w:pPr>
      <w:r w:rsidRPr="00E802E9">
        <w:rPr>
          <w:sz w:val="18"/>
          <w:szCs w:val="18"/>
        </w:rPr>
        <w:t xml:space="preserve">Veková štruktúra pohľadávok </w:t>
      </w:r>
      <w:r w:rsidR="00515879" w:rsidRPr="00E802E9">
        <w:rPr>
          <w:sz w:val="18"/>
          <w:szCs w:val="18"/>
        </w:rPr>
        <w:t xml:space="preserve">za bežné účtovné obdobie </w:t>
      </w:r>
      <w:r w:rsidRPr="00E802E9">
        <w:rPr>
          <w:sz w:val="18"/>
          <w:szCs w:val="18"/>
        </w:rPr>
        <w:t>je uvedená v nasledujúcom prehľade:</w:t>
      </w:r>
      <w:r w:rsidR="005A3C59">
        <w:rPr>
          <w:sz w:val="18"/>
          <w:szCs w:val="18"/>
        </w:rPr>
        <w:tab/>
      </w:r>
    </w:p>
    <w:p w:rsidR="0034119B" w:rsidRDefault="0034119B" w:rsidP="00CA441D">
      <w:pPr>
        <w:pStyle w:val="Zkladntext"/>
      </w:pPr>
    </w:p>
    <w:bookmarkStart w:id="20" w:name="_MON_1423993644"/>
    <w:bookmarkEnd w:id="20"/>
    <w:p w:rsidR="00F73DC8" w:rsidRDefault="00FB270A" w:rsidP="00342E08">
      <w:pPr>
        <w:pStyle w:val="Zkladntext"/>
      </w:pPr>
      <w:r>
        <w:object w:dxaOrig="9047" w:dyaOrig="2154">
          <v:shape id="_x0000_i1034" type="#_x0000_t75" style="width:443.25pt;height:106.5pt" o:ole="" o:preferrelative="f">
            <v:imagedata r:id="rId26" o:title=""/>
            <o:lock v:ext="edit" aspectratio="f"/>
          </v:shape>
          <o:OLEObject Type="Embed" ProgID="Excel.Sheet.12" ShapeID="_x0000_i1034" DrawAspect="Content" ObjectID="_1587205915" r:id="rId27"/>
        </w:object>
      </w:r>
    </w:p>
    <w:p w:rsidR="00342E08" w:rsidRDefault="00342E08" w:rsidP="00342E08">
      <w:pPr>
        <w:pStyle w:val="Zkladntext"/>
      </w:pPr>
      <w:r>
        <w:t>Veková štruktúra pohľadávok za predchádzajúce účtovné obdobie je uvedená v nasledujúcom prehľade:</w:t>
      </w:r>
    </w:p>
    <w:p w:rsidR="001D1700" w:rsidRDefault="006221F3" w:rsidP="00CA441D">
      <w:pPr>
        <w:pStyle w:val="Zkladntext"/>
      </w:pPr>
      <w:r>
        <w:rPr>
          <w:noProof/>
        </w:rPr>
        <w:object w:dxaOrig="1440" w:dyaOrig="1440">
          <v:shape id="_x0000_s1088" type="#_x0000_t75" style="position:absolute;left:0;text-align:left;margin-left:0;margin-top:551.65pt;width:413.25pt;height:106.5pt;z-index:251661312;mso-position-horizontal:left;mso-position-horizontal-relative:text;mso-position-vertical-relative:text" o:preferrelative="f">
            <v:imagedata r:id="rId28" o:title=""/>
            <o:lock v:ext="edit" aspectratio="f"/>
            <w10:wrap type="square" side="right"/>
          </v:shape>
          <o:OLEObject Type="Embed" ProgID="Excel.Sheet.12" ShapeID="_x0000_s1088" DrawAspect="Content" ObjectID="_1587205930" r:id="rId29"/>
        </w:object>
      </w:r>
      <w:r w:rsidR="00BC0068">
        <w:br w:type="textWrapping" w:clear="all"/>
      </w:r>
    </w:p>
    <w:p w:rsidR="00EF4E72" w:rsidRDefault="00EF4E72" w:rsidP="00CA441D">
      <w:pPr>
        <w:pStyle w:val="Zkladntext"/>
      </w:pPr>
      <w:r>
        <w:lastRenderedPageBreak/>
        <w:t>Pohľadávky podľa zostatkovej doby splatnosti sú uvedené v nasledujúcom prehľade:</w:t>
      </w:r>
    </w:p>
    <w:p w:rsidR="0034119B" w:rsidRDefault="0034119B" w:rsidP="00CA441D">
      <w:pPr>
        <w:pStyle w:val="Zkladntext"/>
      </w:pPr>
    </w:p>
    <w:p w:rsidR="00EF4E72" w:rsidRDefault="00EF4E72" w:rsidP="00CA441D">
      <w:pPr>
        <w:pStyle w:val="Zkladntext"/>
      </w:pPr>
    </w:p>
    <w:bookmarkStart w:id="21" w:name="_MON_1423994752"/>
    <w:bookmarkEnd w:id="21"/>
    <w:p w:rsidR="00367A6E" w:rsidRDefault="00FB270A" w:rsidP="00142DDE">
      <w:pPr>
        <w:pStyle w:val="Zkladntext"/>
      </w:pPr>
      <w:r>
        <w:object w:dxaOrig="9244" w:dyaOrig="2385">
          <v:shape id="_x0000_i1035" type="#_x0000_t75" style="width:442.5pt;height:124.5pt" o:ole="" o:preferrelative="f">
            <v:imagedata r:id="rId30" o:title=""/>
            <o:lock v:ext="edit" aspectratio="f"/>
          </v:shape>
          <o:OLEObject Type="Embed" ProgID="Excel.Sheet.12" ShapeID="_x0000_i1035" DrawAspect="Content" ObjectID="_1587205916" r:id="rId31"/>
        </w:object>
      </w:r>
      <w:r w:rsidR="00A9048F" w:rsidRPr="00A9048F">
        <w:t xml:space="preserve"> </w:t>
      </w:r>
    </w:p>
    <w:p w:rsidR="00F648E1" w:rsidRDefault="00F648E1" w:rsidP="00142DDE">
      <w:pPr>
        <w:pStyle w:val="Zkladntext"/>
      </w:pPr>
    </w:p>
    <w:p w:rsidR="00367A6E" w:rsidRDefault="00F648E1" w:rsidP="00142DDE">
      <w:pPr>
        <w:pStyle w:val="Zkladntext"/>
      </w:pPr>
      <w:r>
        <w:t xml:space="preserve">Na pohľadávky nie je zriadené žiadne záložné právo a žiadne pohľadávky nie sú kryté záložným právom </w:t>
      </w:r>
    </w:p>
    <w:p w:rsidR="007752E5" w:rsidRDefault="007752E5" w:rsidP="007752E5">
      <w:pPr>
        <w:pStyle w:val="Zkladntext"/>
      </w:pPr>
      <w:bookmarkStart w:id="22" w:name="_Toc530739905"/>
    </w:p>
    <w:p w:rsidR="00F648E1" w:rsidRPr="007752E5" w:rsidRDefault="00F648E1" w:rsidP="007752E5">
      <w:pPr>
        <w:pStyle w:val="Zkladntext"/>
      </w:pPr>
    </w:p>
    <w:p w:rsidR="00CA441D" w:rsidRDefault="00CA441D" w:rsidP="00CA441D">
      <w:pPr>
        <w:pStyle w:val="Nadpis2"/>
        <w:numPr>
          <w:ilvl w:val="0"/>
          <w:numId w:val="2"/>
        </w:numPr>
      </w:pPr>
      <w:r>
        <w:t>Finančné účty</w:t>
      </w:r>
      <w:bookmarkEnd w:id="22"/>
    </w:p>
    <w:p w:rsidR="00CA441D" w:rsidRDefault="00CA441D" w:rsidP="00CA441D">
      <w:pPr>
        <w:pStyle w:val="Zkladntext"/>
      </w:pPr>
    </w:p>
    <w:p w:rsidR="00442157" w:rsidRDefault="00CA441D" w:rsidP="00CA441D">
      <w:pPr>
        <w:pStyle w:val="Zkladntext"/>
      </w:pPr>
      <w:r>
        <w:t>Ako finančné účty s</w:t>
      </w:r>
      <w:r w:rsidR="00F648E1">
        <w:t>ú vykázané peniaze v pokladnici a</w:t>
      </w:r>
      <w:r>
        <w:t xml:space="preserve"> účty v</w:t>
      </w:r>
      <w:r w:rsidR="00F648E1">
        <w:t> </w:t>
      </w:r>
      <w:r>
        <w:t>bankách</w:t>
      </w:r>
      <w:r w:rsidR="00F648E1">
        <w:t>.</w:t>
      </w:r>
      <w:r>
        <w:t xml:space="preserve"> Účtami v bankách môže </w:t>
      </w:r>
      <w:r w:rsidR="00EC0FB4">
        <w:t>s</w:t>
      </w:r>
      <w:r>
        <w:t>poločnosť voľne disponovať</w:t>
      </w:r>
      <w:r w:rsidR="00E57A51">
        <w:t>.</w:t>
      </w:r>
      <w:r w:rsidRPr="004E493F">
        <w:t xml:space="preserve"> </w:t>
      </w:r>
    </w:p>
    <w:p w:rsidR="00E57A51" w:rsidRDefault="00E57A51" w:rsidP="00CA441D">
      <w:pPr>
        <w:pStyle w:val="Zkladntext"/>
      </w:pPr>
    </w:p>
    <w:p w:rsidR="00442157" w:rsidRDefault="00442157" w:rsidP="00CA441D">
      <w:pPr>
        <w:pStyle w:val="Zkladntext"/>
      </w:pPr>
      <w:r>
        <w:t>Prehľad jednotlivých položiek finančných účtov:</w:t>
      </w:r>
    </w:p>
    <w:p w:rsidR="00442157" w:rsidRDefault="00442157" w:rsidP="00CA441D">
      <w:pPr>
        <w:pStyle w:val="Zkladntext"/>
      </w:pPr>
    </w:p>
    <w:bookmarkStart w:id="23" w:name="_MON_1393712294"/>
    <w:bookmarkEnd w:id="23"/>
    <w:p w:rsidR="00086A82" w:rsidRDefault="006F0A0A" w:rsidP="00137086">
      <w:pPr>
        <w:pStyle w:val="Zkladntext"/>
      </w:pPr>
      <w:r w:rsidRPr="00003C63">
        <w:object w:dxaOrig="9421" w:dyaOrig="1895">
          <v:shape id="_x0000_i1036" type="#_x0000_t75" style="width:448.5pt;height:93pt" o:ole="" o:preferrelative="f">
            <v:imagedata r:id="rId32" o:title=""/>
            <o:lock v:ext="edit" aspectratio="f"/>
          </v:shape>
          <o:OLEObject Type="Embed" ProgID="Excel.Sheet.12" ShapeID="_x0000_i1036" DrawAspect="Content" ObjectID="_1587205917" r:id="rId33"/>
        </w:object>
      </w:r>
      <w:bookmarkStart w:id="24" w:name="_Toc530739906"/>
    </w:p>
    <w:p w:rsidR="00CA441D" w:rsidRDefault="00CA441D" w:rsidP="00CA441D">
      <w:pPr>
        <w:pStyle w:val="Nadpis2"/>
        <w:numPr>
          <w:ilvl w:val="0"/>
          <w:numId w:val="2"/>
        </w:numPr>
      </w:pPr>
      <w:r>
        <w:t>Časové rozlíšenie</w:t>
      </w:r>
      <w:bookmarkEnd w:id="24"/>
    </w:p>
    <w:p w:rsidR="00112CB0" w:rsidRDefault="00112CB0" w:rsidP="00CA441D">
      <w:pPr>
        <w:pStyle w:val="Zkladntext"/>
      </w:pPr>
    </w:p>
    <w:p w:rsidR="00CA441D" w:rsidRDefault="00CA441D" w:rsidP="00CA441D">
      <w:pPr>
        <w:pStyle w:val="Zkladntext"/>
      </w:pPr>
      <w:r w:rsidRPr="00AC097C">
        <w:t>Ide o tieto položky:</w:t>
      </w:r>
    </w:p>
    <w:p w:rsidR="00B12204" w:rsidRDefault="006221F3" w:rsidP="00B12204">
      <w:pPr>
        <w:pStyle w:val="Zkladntext"/>
        <w:rPr>
          <w:lang w:val="de-DE"/>
        </w:rPr>
      </w:pPr>
      <w:bookmarkStart w:id="25" w:name="_MON_1393712556"/>
      <w:bookmarkStart w:id="26" w:name="_MON_1393712783"/>
      <w:bookmarkStart w:id="27" w:name="_MON_1393713454"/>
      <w:bookmarkEnd w:id="25"/>
      <w:bookmarkEnd w:id="26"/>
      <w:bookmarkEnd w:id="27"/>
      <w:r>
        <w:rPr>
          <w:noProof/>
        </w:rPr>
        <w:object w:dxaOrig="1440" w:dyaOrig="1440">
          <v:shape id="_x0000_s1118" type="#_x0000_t75" style="position:absolute;left:0;text-align:left;margin-left:0;margin-top:0;width:472pt;height:215.75pt;z-index:251663360;mso-position-horizontal:left;mso-position-horizontal-relative:text;mso-position-vertical-relative:text" o:preferrelative="f">
            <v:imagedata r:id="rId34" o:title=""/>
            <o:lock v:ext="edit" aspectratio="f"/>
            <w10:wrap type="square" side="right"/>
          </v:shape>
          <o:OLEObject Type="Embed" ProgID="Excel.Sheet.12" ShapeID="_x0000_s1118" DrawAspect="Content" ObjectID="_1587205931" r:id="rId35"/>
        </w:object>
      </w:r>
      <w:r w:rsidR="006F0A0A">
        <w:rPr>
          <w:lang w:val="de-DE"/>
        </w:rPr>
        <w:br w:type="textWrapping" w:clear="all"/>
      </w:r>
    </w:p>
    <w:p w:rsidR="00A82773" w:rsidRDefault="00A82773" w:rsidP="00B12204">
      <w:pPr>
        <w:pStyle w:val="Zkladntext"/>
        <w:rPr>
          <w:lang w:val="de-DE"/>
        </w:rPr>
      </w:pPr>
    </w:p>
    <w:p w:rsidR="00A82773" w:rsidRDefault="00A82773" w:rsidP="00B12204">
      <w:pPr>
        <w:pStyle w:val="Zkladntext"/>
        <w:rPr>
          <w:lang w:val="de-DE"/>
        </w:rPr>
      </w:pPr>
    </w:p>
    <w:p w:rsidR="00A82773" w:rsidRPr="004E1874" w:rsidRDefault="00A82773" w:rsidP="00B12204">
      <w:pPr>
        <w:pStyle w:val="Zkladntext"/>
        <w:rPr>
          <w:lang w:val="de-DE"/>
        </w:rPr>
      </w:pPr>
    </w:p>
    <w:p w:rsidR="00491AF0" w:rsidRDefault="00A82773" w:rsidP="00A82773">
      <w:pPr>
        <w:pStyle w:val="Nadpis1"/>
        <w:numPr>
          <w:ilvl w:val="0"/>
          <w:numId w:val="0"/>
        </w:numPr>
        <w:spacing w:before="120" w:after="60"/>
      </w:pPr>
      <w:r>
        <w:lastRenderedPageBreak/>
        <w:t>I</w:t>
      </w:r>
      <w:r w:rsidR="00491AF0">
        <w:t>nformácie o údajoch na strane pasív súvahy</w:t>
      </w:r>
    </w:p>
    <w:p w:rsidR="00491AF0" w:rsidRDefault="00491AF0" w:rsidP="00491AF0">
      <w:pPr>
        <w:pStyle w:val="Zkladntext"/>
      </w:pPr>
    </w:p>
    <w:p w:rsidR="00491AF0" w:rsidRDefault="00491AF0" w:rsidP="00491AF0">
      <w:pPr>
        <w:pStyle w:val="Nadpis2"/>
        <w:numPr>
          <w:ilvl w:val="0"/>
          <w:numId w:val="20"/>
        </w:numPr>
      </w:pPr>
      <w:bookmarkStart w:id="28" w:name="_Toc530739908"/>
      <w:r>
        <w:t>Vlastné imanie</w:t>
      </w:r>
    </w:p>
    <w:p w:rsidR="00491AF0" w:rsidRDefault="00491AF0" w:rsidP="00491AF0"/>
    <w:p w:rsidR="004A4D80" w:rsidRDefault="00491AF0" w:rsidP="00491AF0">
      <w:pPr>
        <w:pStyle w:val="Zkladntext"/>
      </w:pPr>
      <w:r>
        <w:t>Informácie o vlastnom imaní sú uvedené v časti C a P.</w:t>
      </w:r>
    </w:p>
    <w:p w:rsidR="004A4D80" w:rsidRDefault="004A4D80" w:rsidP="00491AF0">
      <w:pPr>
        <w:pStyle w:val="Zkladntext"/>
      </w:pPr>
    </w:p>
    <w:p w:rsidR="004A4D80" w:rsidRDefault="004A4D80" w:rsidP="004A4D80">
      <w:pPr>
        <w:pStyle w:val="Nadpis2"/>
        <w:numPr>
          <w:ilvl w:val="0"/>
          <w:numId w:val="20"/>
        </w:numPr>
      </w:pPr>
      <w:r>
        <w:t>Rezervy</w:t>
      </w:r>
    </w:p>
    <w:bookmarkEnd w:id="28"/>
    <w:p w:rsidR="00491AF0" w:rsidRDefault="00491AF0" w:rsidP="00491AF0">
      <w:pPr>
        <w:pStyle w:val="Zkladntext"/>
      </w:pPr>
    </w:p>
    <w:p w:rsidR="00A01B4A" w:rsidRDefault="00A01B4A" w:rsidP="00491AF0">
      <w:pPr>
        <w:pStyle w:val="Zkladntext"/>
      </w:pPr>
    </w:p>
    <w:p w:rsidR="00491AF0" w:rsidRPr="00EC0203" w:rsidRDefault="00491AF0" w:rsidP="00491AF0">
      <w:pPr>
        <w:pStyle w:val="Zkladntext"/>
      </w:pPr>
      <w:r>
        <w:t>Prehľad o rezervách za bežné účtovné obdobie je uvedený v nasledujúc</w:t>
      </w:r>
      <w:r w:rsidR="00D75116">
        <w:t>om</w:t>
      </w:r>
      <w:r>
        <w:t xml:space="preserve"> </w:t>
      </w:r>
      <w:r w:rsidR="00D75116">
        <w:t>prehľade</w:t>
      </w:r>
      <w:r>
        <w:t>:</w:t>
      </w:r>
    </w:p>
    <w:p w:rsidR="00491AF0" w:rsidRDefault="00491AF0" w:rsidP="00491AF0">
      <w:pPr>
        <w:pStyle w:val="Zkladntext"/>
        <w:jc w:val="left"/>
      </w:pPr>
    </w:p>
    <w:p w:rsidR="00085ECF" w:rsidRDefault="006221F3" w:rsidP="000C5B28">
      <w:pPr>
        <w:ind w:left="426"/>
      </w:pPr>
      <w:r>
        <w:rPr>
          <w:noProof/>
        </w:rPr>
        <w:object w:dxaOrig="1440" w:dyaOrig="1440">
          <v:shape id="_x0000_s1119" type="#_x0000_t75" style="position:absolute;left:0;text-align:left;margin-left:0;margin-top:0;width:508.7pt;height:249.45pt;z-index:251665408;mso-position-horizontal:left;mso-position-horizontal-relative:text;mso-position-vertical-relative:text" o:preferrelative="f">
            <v:imagedata r:id="rId36" o:title=""/>
            <o:lock v:ext="edit" aspectratio="f"/>
            <w10:wrap type="square" side="right"/>
          </v:shape>
          <o:OLEObject Type="Embed" ProgID="Excel.Sheet.12" ShapeID="_x0000_s1119" DrawAspect="Content" ObjectID="_1587205932" r:id="rId37"/>
        </w:object>
      </w:r>
      <w:bookmarkStart w:id="29" w:name="OLE_LINK17"/>
      <w:bookmarkStart w:id="30" w:name="OLE_LINK18"/>
      <w:r w:rsidR="00CB7523">
        <w:br w:type="textWrapping" w:clear="all"/>
      </w:r>
    </w:p>
    <w:p w:rsidR="00085ECF" w:rsidRDefault="00085ECF" w:rsidP="000C5B28">
      <w:pPr>
        <w:ind w:left="426"/>
      </w:pPr>
    </w:p>
    <w:p w:rsidR="00491AF0" w:rsidRDefault="00491AF0" w:rsidP="000C5B28">
      <w:pPr>
        <w:ind w:left="426"/>
      </w:pPr>
      <w:r>
        <w:t>Prehľad o rezervách za predchádzajúce účtovné obdobie je uvedený v nasledujúc</w:t>
      </w:r>
      <w:r w:rsidR="00076486">
        <w:t>om</w:t>
      </w:r>
      <w:r>
        <w:t xml:space="preserve"> </w:t>
      </w:r>
      <w:r w:rsidR="00076486">
        <w:t>prehľade</w:t>
      </w:r>
      <w:r>
        <w:t>:</w:t>
      </w:r>
    </w:p>
    <w:p w:rsidR="005B4970" w:rsidRDefault="006221F3" w:rsidP="00A01B4A">
      <w:pPr>
        <w:pStyle w:val="Zkladntext"/>
        <w:jc w:val="left"/>
      </w:pPr>
      <w:r>
        <w:rPr>
          <w:noProof/>
        </w:rPr>
        <w:object w:dxaOrig="1440" w:dyaOrig="1440">
          <v:shape id="_x0000_s1120" type="#_x0000_t75" style="position:absolute;left:0;text-align:left;margin-left:0;margin-top:0;width:396.75pt;height:249.75pt;z-index:251667456;mso-position-horizontal:left;mso-position-horizontal-relative:text;mso-position-vertical-relative:text" o:preferrelative="f">
            <v:imagedata r:id="rId38" o:title=""/>
            <o:lock v:ext="edit" aspectratio="f"/>
            <w10:wrap type="square" side="right"/>
          </v:shape>
          <o:OLEObject Type="Embed" ProgID="Excel.Sheet.12" ShapeID="_x0000_s1120" DrawAspect="Content" ObjectID="_1587205933" r:id="rId39"/>
        </w:object>
      </w:r>
      <w:bookmarkEnd w:id="29"/>
      <w:bookmarkEnd w:id="30"/>
      <w:r w:rsidR="00CB7523">
        <w:br w:type="textWrapping" w:clear="all"/>
      </w:r>
    </w:p>
    <w:p w:rsidR="00491AF0" w:rsidRDefault="00491AF0" w:rsidP="00491AF0">
      <w:pPr>
        <w:pStyle w:val="Zkladntext"/>
      </w:pPr>
    </w:p>
    <w:p w:rsidR="00A82773" w:rsidRDefault="00A82773" w:rsidP="00491AF0">
      <w:pPr>
        <w:pStyle w:val="Zkladntext"/>
        <w:jc w:val="left"/>
        <w:rPr>
          <w:b/>
        </w:rPr>
      </w:pPr>
    </w:p>
    <w:p w:rsidR="00A82773" w:rsidRDefault="00A82773" w:rsidP="00491AF0">
      <w:pPr>
        <w:pStyle w:val="Zkladntext"/>
        <w:jc w:val="left"/>
        <w:rPr>
          <w:b/>
        </w:rPr>
      </w:pPr>
    </w:p>
    <w:p w:rsidR="00491AF0" w:rsidRPr="00F47560" w:rsidRDefault="00491AF0" w:rsidP="00491AF0">
      <w:pPr>
        <w:pStyle w:val="Zkladntext"/>
        <w:jc w:val="left"/>
        <w:rPr>
          <w:b/>
        </w:rPr>
      </w:pPr>
      <w:r w:rsidRPr="00F47560">
        <w:rPr>
          <w:b/>
        </w:rPr>
        <w:t>Nevyfakturované dodávky majetku</w:t>
      </w:r>
    </w:p>
    <w:p w:rsidR="00491AF0" w:rsidRPr="00F47560" w:rsidRDefault="00491AF0" w:rsidP="00491AF0">
      <w:pPr>
        <w:pStyle w:val="Zkladntext"/>
        <w:jc w:val="left"/>
        <w:rPr>
          <w:b/>
        </w:rPr>
      </w:pPr>
    </w:p>
    <w:p w:rsidR="00491AF0" w:rsidRPr="00D50DC3" w:rsidRDefault="00491AF0" w:rsidP="00491AF0">
      <w:pPr>
        <w:pStyle w:val="Zkladntext"/>
      </w:pPr>
      <w:r w:rsidRPr="00F47560">
        <w:t>Rezervy na nevyfakturované dodávky majetku sa nevykazujú s vplyvom na výsledok hospodárenia.</w:t>
      </w:r>
      <w:r>
        <w:t xml:space="preserve"> </w:t>
      </w:r>
    </w:p>
    <w:p w:rsidR="00491AF0" w:rsidRDefault="00491AF0" w:rsidP="00491AF0">
      <w:pPr>
        <w:pStyle w:val="Zkladntext"/>
      </w:pPr>
    </w:p>
    <w:p w:rsidR="00CB7523" w:rsidRDefault="00CB7523" w:rsidP="00491AF0">
      <w:pPr>
        <w:pStyle w:val="Zkladntext"/>
      </w:pPr>
    </w:p>
    <w:p w:rsidR="001D1700" w:rsidRDefault="001D1700" w:rsidP="00491AF0">
      <w:pPr>
        <w:pStyle w:val="Zkladntext"/>
      </w:pPr>
    </w:p>
    <w:p w:rsidR="00491AF0" w:rsidRDefault="00491AF0" w:rsidP="00491AF0">
      <w:pPr>
        <w:pStyle w:val="Nadpis2"/>
        <w:numPr>
          <w:ilvl w:val="0"/>
          <w:numId w:val="2"/>
        </w:numPr>
      </w:pPr>
      <w:bookmarkStart w:id="31" w:name="_Toc530739909"/>
      <w:r>
        <w:t>Záväzky</w:t>
      </w:r>
      <w:bookmarkEnd w:id="31"/>
    </w:p>
    <w:p w:rsidR="00491AF0" w:rsidRDefault="00491AF0" w:rsidP="00491AF0">
      <w:pPr>
        <w:pStyle w:val="Zkladntext"/>
      </w:pPr>
    </w:p>
    <w:p w:rsidR="00491AF0" w:rsidRDefault="00491AF0" w:rsidP="00491AF0">
      <w:pPr>
        <w:pStyle w:val="Zkladntext"/>
      </w:pPr>
      <w:r>
        <w:t>Štruktúra záväzkov (okrem bankových úverov) podľa zostatkovej doby splatnosti je uvedená v nasledujúcom prehľade:</w:t>
      </w:r>
    </w:p>
    <w:p w:rsidR="00491AF0" w:rsidRDefault="00491AF0" w:rsidP="00491AF0">
      <w:pPr>
        <w:pStyle w:val="Zkladntext"/>
      </w:pPr>
    </w:p>
    <w:bookmarkStart w:id="32" w:name="_MON_1393713302"/>
    <w:bookmarkStart w:id="33" w:name="_MON_1393713145"/>
    <w:bookmarkEnd w:id="32"/>
    <w:bookmarkEnd w:id="33"/>
    <w:bookmarkStart w:id="34" w:name="_MON_1393713242"/>
    <w:bookmarkEnd w:id="34"/>
    <w:p w:rsidR="00491AF0" w:rsidRDefault="00BC351B" w:rsidP="00E802E9">
      <w:pPr>
        <w:ind w:left="426"/>
      </w:pPr>
      <w:r>
        <w:object w:dxaOrig="8956" w:dyaOrig="4005">
          <v:shape id="_x0000_i1037" type="#_x0000_t75" style="width:441pt;height:207.75pt" o:ole="" o:preferrelative="f">
            <v:imagedata r:id="rId40" o:title=""/>
            <o:lock v:ext="edit" aspectratio="f"/>
          </v:shape>
          <o:OLEObject Type="Embed" ProgID="Excel.Sheet.12" ShapeID="_x0000_i1037" DrawAspect="Content" ObjectID="_1587205918" r:id="rId41"/>
        </w:object>
      </w:r>
      <w:r w:rsidR="00491AF0" w:rsidRPr="00E802E9">
        <w:rPr>
          <w:sz w:val="18"/>
          <w:szCs w:val="18"/>
        </w:rPr>
        <w:t xml:space="preserve">Spoločnosť </w:t>
      </w:r>
      <w:r w:rsidR="00940B1D" w:rsidRPr="00E802E9">
        <w:rPr>
          <w:sz w:val="18"/>
          <w:szCs w:val="18"/>
        </w:rPr>
        <w:t xml:space="preserve">nemá záväzky po dobe splatnosti </w:t>
      </w:r>
      <w:r w:rsidR="0004421F" w:rsidRPr="00E802E9">
        <w:rPr>
          <w:sz w:val="18"/>
          <w:szCs w:val="18"/>
        </w:rPr>
        <w:t xml:space="preserve">a všetky svoje finančné povinnosti </w:t>
      </w:r>
      <w:r w:rsidR="00B46AED" w:rsidRPr="00E802E9">
        <w:rPr>
          <w:sz w:val="18"/>
          <w:szCs w:val="18"/>
        </w:rPr>
        <w:t xml:space="preserve">si </w:t>
      </w:r>
      <w:r w:rsidR="0004421F" w:rsidRPr="00E802E9">
        <w:rPr>
          <w:sz w:val="18"/>
          <w:szCs w:val="18"/>
        </w:rPr>
        <w:t>plní v čase tomu určenom</w:t>
      </w:r>
      <w:r w:rsidR="0004421F">
        <w:t>.</w:t>
      </w:r>
    </w:p>
    <w:p w:rsidR="00B46AED" w:rsidRDefault="00B46AED" w:rsidP="00491AF0">
      <w:pPr>
        <w:pStyle w:val="Zkladntext"/>
      </w:pPr>
    </w:p>
    <w:p w:rsidR="00B46AED" w:rsidRDefault="00B46AED" w:rsidP="005C014A">
      <w:pPr>
        <w:pStyle w:val="Zkladntext"/>
        <w:ind w:left="0"/>
      </w:pPr>
    </w:p>
    <w:p w:rsidR="00E231BA" w:rsidRDefault="00E231BA" w:rsidP="00E231BA">
      <w:pPr>
        <w:pStyle w:val="Nadpis2"/>
        <w:numPr>
          <w:ilvl w:val="0"/>
          <w:numId w:val="2"/>
        </w:numPr>
      </w:pPr>
      <w:bookmarkStart w:id="35" w:name="_Toc530739910"/>
      <w:r>
        <w:t>Odložený daňový záväzok</w:t>
      </w:r>
      <w:bookmarkEnd w:id="35"/>
      <w:r w:rsidR="00B92AC0">
        <w:t xml:space="preserve"> / pohľadávka</w:t>
      </w:r>
    </w:p>
    <w:p w:rsidR="00E231BA" w:rsidRDefault="00E231BA" w:rsidP="00E231BA"/>
    <w:p w:rsidR="007752E5" w:rsidRDefault="007C2EF7" w:rsidP="00E231BA">
      <w:pPr>
        <w:pStyle w:val="Zkladntext"/>
      </w:pPr>
      <w:r>
        <w:t xml:space="preserve">Informácie o odloženej dani sú uvedené v poznámke I. </w:t>
      </w:r>
    </w:p>
    <w:p w:rsidR="007752E5" w:rsidRDefault="007752E5" w:rsidP="00E231BA">
      <w:pPr>
        <w:pStyle w:val="Zkladntext"/>
      </w:pPr>
      <w:bookmarkStart w:id="36" w:name="_MON_1393715964"/>
      <w:bookmarkEnd w:id="36"/>
    </w:p>
    <w:p w:rsidR="009E7EF3" w:rsidRDefault="009E7EF3" w:rsidP="00E231BA">
      <w:pPr>
        <w:pStyle w:val="Zkladntext"/>
      </w:pPr>
    </w:p>
    <w:p w:rsidR="00E231BA" w:rsidRDefault="00E231BA" w:rsidP="00E231BA">
      <w:pPr>
        <w:pStyle w:val="Nadpis2"/>
        <w:numPr>
          <w:ilvl w:val="0"/>
          <w:numId w:val="2"/>
        </w:numPr>
      </w:pPr>
      <w:bookmarkStart w:id="37" w:name="_Toc530739911"/>
      <w:r>
        <w:t>Sociálny fond</w:t>
      </w:r>
      <w:bookmarkEnd w:id="37"/>
    </w:p>
    <w:p w:rsidR="009E7EF3" w:rsidRDefault="009E7EF3" w:rsidP="00E231BA">
      <w:pPr>
        <w:pStyle w:val="Zkladntext"/>
      </w:pPr>
    </w:p>
    <w:p w:rsidR="00E231BA" w:rsidRDefault="00E231BA" w:rsidP="00E231BA">
      <w:pPr>
        <w:pStyle w:val="Zkladntext"/>
      </w:pPr>
      <w:r>
        <w:t>Tvorba a čerpanie sociálneho fondu v priebehu účtovného obdobia sú znázornené v nasledujúcom prehľade:</w:t>
      </w:r>
    </w:p>
    <w:p w:rsidR="00E231BA" w:rsidRDefault="00E231BA" w:rsidP="00E231BA">
      <w:pPr>
        <w:pStyle w:val="Zkladntext"/>
      </w:pPr>
    </w:p>
    <w:p w:rsidR="00A25722" w:rsidRPr="00D16B95" w:rsidRDefault="006221F3" w:rsidP="00A25722">
      <w:pPr>
        <w:pStyle w:val="Zkladntext"/>
        <w:rPr>
          <w:lang w:val="de-DE"/>
        </w:rPr>
      </w:pPr>
      <w:r>
        <w:rPr>
          <w:noProof/>
        </w:rPr>
        <w:object w:dxaOrig="1440" w:dyaOrig="1440">
          <v:shape id="_x0000_s1147" type="#_x0000_t75" style="position:absolute;left:0;text-align:left;margin-left:0;margin-top:0;width:411.75pt;height:161.25pt;z-index:251669504;mso-position-horizontal:left;mso-position-horizontal-relative:text;mso-position-vertical-relative:text" o:preferrelative="f">
            <v:imagedata r:id="rId42" o:title=""/>
            <o:lock v:ext="edit" aspectratio="f"/>
            <w10:wrap type="square" side="right"/>
          </v:shape>
          <o:OLEObject Type="Embed" ProgID="Excel.Sheet.12" ShapeID="_x0000_s1147" DrawAspect="Content" ObjectID="_1587205934" r:id="rId43"/>
        </w:object>
      </w:r>
      <w:r w:rsidR="003F6621">
        <w:rPr>
          <w:lang w:val="de-DE"/>
        </w:rPr>
        <w:br w:type="textWrapping" w:clear="all"/>
      </w:r>
    </w:p>
    <w:p w:rsidR="00A25722" w:rsidRPr="00D16B95" w:rsidRDefault="00A25722" w:rsidP="00A25722">
      <w:pPr>
        <w:pStyle w:val="Zkladntext"/>
        <w:rPr>
          <w:color w:val="000000"/>
          <w:lang w:val="de-DE"/>
        </w:rPr>
      </w:pPr>
    </w:p>
    <w:p w:rsidR="00CB7523" w:rsidRDefault="00E231BA" w:rsidP="00E231BA">
      <w:pPr>
        <w:pStyle w:val="Zkladntext"/>
      </w:pPr>
      <w:r>
        <w:t>Časť sociálneho fondu sa podľa zákona o sociálnom fonde tvorí povinne na ťarchu nákladov a časť sa môže vytvárať zo zisku. Sociálny fond sa podľa zákona o sociálnom fonde čerpá na sociálne, zdravotné, rekreačné a iné potreby zamestnancov</w:t>
      </w:r>
      <w:r w:rsidR="00BA7EC5">
        <w:t xml:space="preserve"> podľa vnútornej smernice </w:t>
      </w:r>
      <w:r w:rsidR="003F4F79">
        <w:t xml:space="preserve">pre tvorbu a použitie sociálneho fondu </w:t>
      </w:r>
      <w:r w:rsidR="00BA7EC5">
        <w:t>a v</w:t>
      </w:r>
      <w:r w:rsidR="003F6621">
        <w:t> zmysle zákona o sociálnom fon</w:t>
      </w:r>
      <w:r w:rsidR="00A53DFE">
        <w:t>de.</w:t>
      </w:r>
    </w:p>
    <w:p w:rsidR="00E231BA" w:rsidRDefault="00E231BA" w:rsidP="00E231BA">
      <w:pPr>
        <w:pStyle w:val="Nadpis2"/>
        <w:numPr>
          <w:ilvl w:val="0"/>
          <w:numId w:val="2"/>
        </w:numPr>
      </w:pPr>
      <w:bookmarkStart w:id="38" w:name="_Toc530739912"/>
      <w:r>
        <w:lastRenderedPageBreak/>
        <w:t>Bankové úvery</w:t>
      </w:r>
      <w:bookmarkEnd w:id="38"/>
    </w:p>
    <w:p w:rsidR="00E231BA" w:rsidRDefault="00E231BA" w:rsidP="00E231BA">
      <w:pPr>
        <w:pStyle w:val="Zkladntext"/>
      </w:pPr>
    </w:p>
    <w:bookmarkStart w:id="39" w:name="_Toc530739913"/>
    <w:bookmarkStart w:id="40" w:name="_MON_1551080823"/>
    <w:bookmarkEnd w:id="40"/>
    <w:p w:rsidR="00D4583E" w:rsidRPr="00E9433E" w:rsidRDefault="008F1015">
      <w:pPr>
        <w:spacing w:after="200" w:line="276" w:lineRule="auto"/>
        <w:rPr>
          <w:sz w:val="18"/>
        </w:rPr>
      </w:pPr>
      <w:r>
        <w:rPr>
          <w:b/>
          <w:sz w:val="18"/>
        </w:rPr>
        <w:object w:dxaOrig="10454" w:dyaOrig="1635">
          <v:shape id="_x0000_i1038" type="#_x0000_t75" style="width:522.75pt;height:81.75pt" o:ole="">
            <v:imagedata r:id="rId44" o:title=""/>
          </v:shape>
          <o:OLEObject Type="Embed" ProgID="Excel.Sheet.12" ShapeID="_x0000_i1038" DrawAspect="Content" ObjectID="_1587205919" r:id="rId45"/>
        </w:object>
      </w:r>
    </w:p>
    <w:p w:rsidR="00470904" w:rsidRPr="00E9433E" w:rsidRDefault="00470904">
      <w:pPr>
        <w:spacing w:after="200" w:line="276" w:lineRule="auto"/>
        <w:rPr>
          <w:sz w:val="18"/>
        </w:rPr>
      </w:pPr>
      <w:r w:rsidRPr="00E9433E">
        <w:rPr>
          <w:sz w:val="18"/>
        </w:rPr>
        <w:t xml:space="preserve">Dlhodobý bankový úver bol poskytnutý na </w:t>
      </w:r>
      <w:proofErr w:type="spellStart"/>
      <w:r w:rsidRPr="00E9433E">
        <w:rPr>
          <w:sz w:val="18"/>
        </w:rPr>
        <w:t>pr</w:t>
      </w:r>
      <w:r w:rsidR="00CB7523">
        <w:rPr>
          <w:sz w:val="18"/>
        </w:rPr>
        <w:t>efinancovanie</w:t>
      </w:r>
      <w:proofErr w:type="spellEnd"/>
      <w:r w:rsidR="00CB7523">
        <w:rPr>
          <w:sz w:val="18"/>
        </w:rPr>
        <w:t xml:space="preserve"> sušiarenskej haly a </w:t>
      </w:r>
      <w:proofErr w:type="spellStart"/>
      <w:r w:rsidR="00CB7523">
        <w:rPr>
          <w:sz w:val="18"/>
        </w:rPr>
        <w:t>rozmietacej</w:t>
      </w:r>
      <w:proofErr w:type="spellEnd"/>
      <w:r w:rsidR="00CB7523">
        <w:rPr>
          <w:sz w:val="18"/>
        </w:rPr>
        <w:t xml:space="preserve"> píly. </w:t>
      </w:r>
      <w:r w:rsidRPr="00E9433E">
        <w:rPr>
          <w:sz w:val="18"/>
        </w:rPr>
        <w:t xml:space="preserve"> Dlhodobý </w:t>
      </w:r>
      <w:r w:rsidR="00E9433E" w:rsidRPr="00E9433E">
        <w:rPr>
          <w:sz w:val="18"/>
        </w:rPr>
        <w:t>bankový</w:t>
      </w:r>
      <w:r w:rsidRPr="00E9433E">
        <w:rPr>
          <w:sz w:val="18"/>
        </w:rPr>
        <w:t xml:space="preserve"> úver bol poskytnutý na dobu </w:t>
      </w:r>
      <w:r w:rsidR="00E9433E" w:rsidRPr="00E9433E">
        <w:rPr>
          <w:sz w:val="18"/>
        </w:rPr>
        <w:t>4 rokov. Mesačný splátka predstavuje čiastku 1.535€ a</w:t>
      </w:r>
      <w:r w:rsidR="00A53DFE">
        <w:rPr>
          <w:sz w:val="18"/>
        </w:rPr>
        <w:t> 1.334</w:t>
      </w:r>
      <w:r w:rsidR="00CB7523" w:rsidRPr="00A53DFE">
        <w:rPr>
          <w:sz w:val="18"/>
        </w:rPr>
        <w:t>€</w:t>
      </w:r>
      <w:r w:rsidR="00CB7523">
        <w:rPr>
          <w:sz w:val="18"/>
        </w:rPr>
        <w:t xml:space="preserve"> </w:t>
      </w:r>
      <w:r w:rsidR="00E9433E" w:rsidRPr="00E9433E">
        <w:rPr>
          <w:sz w:val="18"/>
        </w:rPr>
        <w:t xml:space="preserve">úroková sadzba úveru je 2% </w:t>
      </w:r>
      <w:proofErr w:type="spellStart"/>
      <w:r w:rsidR="00E9433E" w:rsidRPr="00E9433E">
        <w:rPr>
          <w:sz w:val="18"/>
        </w:rPr>
        <w:t>p.a</w:t>
      </w:r>
      <w:proofErr w:type="spellEnd"/>
      <w:r w:rsidR="00E9433E" w:rsidRPr="00E9433E">
        <w:rPr>
          <w:sz w:val="18"/>
        </w:rPr>
        <w:t>.</w:t>
      </w:r>
      <w:r w:rsidR="007543EF">
        <w:rPr>
          <w:sz w:val="18"/>
        </w:rPr>
        <w:t xml:space="preserve"> Zabezpečenie pohľadávok banky je </w:t>
      </w:r>
      <w:proofErr w:type="spellStart"/>
      <w:r w:rsidR="007543EF">
        <w:rPr>
          <w:sz w:val="18"/>
        </w:rPr>
        <w:t>blankozmenkou</w:t>
      </w:r>
      <w:proofErr w:type="spellEnd"/>
      <w:r w:rsidR="007543EF">
        <w:rPr>
          <w:sz w:val="18"/>
        </w:rPr>
        <w:t>.</w:t>
      </w:r>
    </w:p>
    <w:bookmarkEnd w:id="39"/>
    <w:p w:rsidR="007A491D" w:rsidRDefault="007A491D" w:rsidP="00E231BA">
      <w:pPr>
        <w:pStyle w:val="Zkladntext"/>
      </w:pPr>
    </w:p>
    <w:p w:rsidR="007A491D" w:rsidRDefault="007A491D" w:rsidP="00E231BA">
      <w:pPr>
        <w:pStyle w:val="Zkladntext"/>
      </w:pPr>
    </w:p>
    <w:p w:rsidR="00BC631F" w:rsidRPr="00401F9E" w:rsidRDefault="000B6195" w:rsidP="00BC631F">
      <w:pPr>
        <w:pStyle w:val="Nadpis2"/>
        <w:numPr>
          <w:ilvl w:val="0"/>
          <w:numId w:val="2"/>
        </w:numPr>
      </w:pPr>
      <w:r w:rsidRPr="00401F9E">
        <w:t>Deriváty</w:t>
      </w:r>
    </w:p>
    <w:p w:rsidR="00BC631F" w:rsidRDefault="00BC631F" w:rsidP="00BC631F">
      <w:pPr>
        <w:pStyle w:val="Zkladntext"/>
      </w:pPr>
    </w:p>
    <w:p w:rsidR="003D287F" w:rsidRDefault="006750FE" w:rsidP="003D287F">
      <w:pPr>
        <w:pStyle w:val="Nadpis2"/>
        <w:numPr>
          <w:ilvl w:val="0"/>
          <w:numId w:val="0"/>
        </w:numPr>
        <w:ind w:left="426"/>
        <w:jc w:val="both"/>
        <w:rPr>
          <w:b w:val="0"/>
        </w:rPr>
      </w:pPr>
      <w:r w:rsidRPr="001A7CD7">
        <w:rPr>
          <w:b w:val="0"/>
        </w:rPr>
        <w:t xml:space="preserve">Spoločnosť </w:t>
      </w:r>
      <w:r w:rsidR="003D287F">
        <w:rPr>
          <w:b w:val="0"/>
        </w:rPr>
        <w:t>nevyužívala vo svojej činnosti žiadne bankové deriváty</w:t>
      </w:r>
      <w:r w:rsidR="005C014A">
        <w:rPr>
          <w:b w:val="0"/>
        </w:rPr>
        <w:t>,</w:t>
      </w:r>
      <w:r w:rsidR="003D287F">
        <w:rPr>
          <w:b w:val="0"/>
        </w:rPr>
        <w:t xml:space="preserve"> ani iné finančné nástroje na zabezpečenie financovania svojej činnosti.</w:t>
      </w:r>
    </w:p>
    <w:p w:rsidR="0075139D" w:rsidRDefault="003D287F" w:rsidP="003D287F">
      <w:pPr>
        <w:pStyle w:val="Nadpis2"/>
        <w:numPr>
          <w:ilvl w:val="0"/>
          <w:numId w:val="0"/>
        </w:numPr>
        <w:ind w:left="426"/>
        <w:jc w:val="both"/>
      </w:pPr>
      <w:r>
        <w:t xml:space="preserve"> </w:t>
      </w:r>
    </w:p>
    <w:p w:rsidR="005C014A" w:rsidRDefault="005C014A" w:rsidP="005C014A"/>
    <w:p w:rsidR="00E231BA" w:rsidRDefault="00A82773" w:rsidP="00085ECF">
      <w:pPr>
        <w:pStyle w:val="Nadpis1"/>
        <w:numPr>
          <w:ilvl w:val="0"/>
          <w:numId w:val="37"/>
        </w:numPr>
        <w:spacing w:before="120" w:after="60"/>
        <w:ind w:left="360"/>
      </w:pPr>
      <w:r>
        <w:t>informácie, KTORÉ VYSVETĽUJÚ A DOPĹŇAJÚ POLOŽKY VÝKAZU ZISKOV A STRÁT</w:t>
      </w:r>
    </w:p>
    <w:p w:rsidR="00E231BA" w:rsidRDefault="00E231BA" w:rsidP="00E231BA">
      <w:pPr>
        <w:pStyle w:val="Nadpis2"/>
        <w:numPr>
          <w:ilvl w:val="0"/>
          <w:numId w:val="0"/>
        </w:numPr>
      </w:pPr>
      <w:bookmarkStart w:id="41" w:name="_Toc530739914"/>
    </w:p>
    <w:p w:rsidR="00E231BA" w:rsidRDefault="00E231BA" w:rsidP="00294BAE">
      <w:pPr>
        <w:pStyle w:val="Nadpis2"/>
        <w:numPr>
          <w:ilvl w:val="0"/>
          <w:numId w:val="27"/>
        </w:numPr>
      </w:pPr>
      <w:r>
        <w:t>Tržby za vlastné výkony a tovar</w:t>
      </w:r>
      <w:bookmarkEnd w:id="41"/>
    </w:p>
    <w:p w:rsidR="00E231BA" w:rsidRDefault="00E231BA" w:rsidP="00E231BA">
      <w:pPr>
        <w:pStyle w:val="Zkladntext"/>
      </w:pPr>
    </w:p>
    <w:p w:rsidR="00E231BA" w:rsidRDefault="00E231BA" w:rsidP="00E231BA">
      <w:pPr>
        <w:pStyle w:val="Zkladntext"/>
      </w:pPr>
      <w:r>
        <w:t xml:space="preserve">Tržby za vlastné výkony a tovar podľa </w:t>
      </w:r>
      <w:r w:rsidR="0007172A">
        <w:t>základných činností a rozhodujúcich produktov a služieb spoločnosti sú</w:t>
      </w:r>
      <w:r>
        <w:t xml:space="preserve"> uvedené v nasledujúcom prehľade:</w:t>
      </w:r>
    </w:p>
    <w:p w:rsidR="00E231BA" w:rsidRDefault="00E231BA" w:rsidP="00E231BA">
      <w:pPr>
        <w:pStyle w:val="Zkladntext"/>
      </w:pPr>
    </w:p>
    <w:bookmarkStart w:id="42" w:name="_MON_1424514915"/>
    <w:bookmarkEnd w:id="42"/>
    <w:p w:rsidR="00F75DF5" w:rsidRDefault="00D50F57" w:rsidP="00F75DF5">
      <w:pPr>
        <w:pStyle w:val="Zkladntext"/>
      </w:pPr>
      <w:r>
        <w:object w:dxaOrig="9609" w:dyaOrig="2678">
          <v:shape id="_x0000_i1039" type="#_x0000_t75" style="width:455.25pt;height:133.5pt" o:ole="" o:preferrelative="f">
            <v:imagedata r:id="rId46" o:title=""/>
            <o:lock v:ext="edit" aspectratio="f"/>
          </v:shape>
          <o:OLEObject Type="Embed" ProgID="Excel.Sheet.12" ShapeID="_x0000_i1039" DrawAspect="Content" ObjectID="_1587205920" r:id="rId47"/>
        </w:object>
      </w:r>
    </w:p>
    <w:p w:rsidR="00E231BA" w:rsidRDefault="00E231BA" w:rsidP="000C5B28">
      <w:pPr>
        <w:pStyle w:val="Nadpis2"/>
        <w:numPr>
          <w:ilvl w:val="0"/>
          <w:numId w:val="2"/>
        </w:numPr>
      </w:pPr>
      <w:bookmarkStart w:id="43" w:name="_Toc530739915"/>
      <w:r>
        <w:t>Zmena stavu zásob vlastnej výroby</w:t>
      </w:r>
      <w:bookmarkEnd w:id="43"/>
    </w:p>
    <w:p w:rsidR="00E231BA" w:rsidRDefault="00E231BA" w:rsidP="00E231BA">
      <w:pPr>
        <w:pStyle w:val="Zkladntext"/>
      </w:pPr>
    </w:p>
    <w:p w:rsidR="00F71797" w:rsidRDefault="00F71797" w:rsidP="00E231BA">
      <w:pPr>
        <w:pStyle w:val="Zkladntext"/>
        <w:rPr>
          <w:szCs w:val="18"/>
        </w:rPr>
      </w:pPr>
      <w:r>
        <w:rPr>
          <w:szCs w:val="18"/>
        </w:rPr>
        <w:t>Spoločnosť má denný uzavretý výrobný cyklus z toho dôvodu nevykazuje v účtovníctve rozpracovanú výrobu, zmena stavu zásob hotových výrobkov zachytáva účtovné stavy skladu hotových výrobkov k 31.12. príslušného roku a tieto sa vždy skontrolujú fyzickou inventúrou a porovnajú s evidenčným účtovným stavom. Tento sa dokumentuje zápisom.</w:t>
      </w:r>
    </w:p>
    <w:p w:rsidR="00F71797" w:rsidRDefault="00F71797" w:rsidP="00E231BA">
      <w:pPr>
        <w:pStyle w:val="Zkladntext"/>
        <w:rPr>
          <w:szCs w:val="18"/>
        </w:rPr>
      </w:pPr>
    </w:p>
    <w:p w:rsidR="00B825EB" w:rsidRDefault="00E231BA" w:rsidP="00E231BA">
      <w:pPr>
        <w:pStyle w:val="Zkladntext"/>
      </w:pPr>
      <w:r w:rsidRPr="00BA750A">
        <w:rPr>
          <w:szCs w:val="18"/>
        </w:rPr>
        <w:lastRenderedPageBreak/>
        <w:t xml:space="preserve"> </w:t>
      </w:r>
      <w:bookmarkStart w:id="44" w:name="_MON_1424515412"/>
      <w:bookmarkEnd w:id="44"/>
      <w:r w:rsidR="008E6BB6" w:rsidRPr="00003C63">
        <w:object w:dxaOrig="8905" w:dyaOrig="3995">
          <v:shape id="_x0000_i1040" type="#_x0000_t75" style="width:387.75pt;height:178.5pt" o:ole="" o:preferrelative="f">
            <v:imagedata r:id="rId48" o:title=""/>
            <o:lock v:ext="edit" aspectratio="f"/>
          </v:shape>
          <o:OLEObject Type="Embed" ProgID="Excel.Sheet.12" ShapeID="_x0000_i1040" DrawAspect="Content" ObjectID="_1587205921" r:id="rId49"/>
        </w:object>
      </w:r>
    </w:p>
    <w:p w:rsidR="00E231BA" w:rsidRPr="00CF4E80" w:rsidRDefault="00E231BA" w:rsidP="003B56D5">
      <w:pPr>
        <w:pStyle w:val="Nadpis2"/>
      </w:pPr>
      <w:bookmarkStart w:id="45" w:name="_Toc530739916"/>
      <w:r w:rsidRPr="00CF4E80">
        <w:t>Aktivácia</w:t>
      </w:r>
      <w:bookmarkEnd w:id="45"/>
      <w:r w:rsidR="00BA3FB7" w:rsidRPr="00CF4E80">
        <w:t xml:space="preserve"> nákladov, výnosy z hospodárskej činnosti, finančnej činnosti a mimoriadnej činnosti</w:t>
      </w:r>
    </w:p>
    <w:p w:rsidR="00E231BA" w:rsidRDefault="00E231BA" w:rsidP="00E231BA">
      <w:pPr>
        <w:pStyle w:val="Zkladntext"/>
      </w:pPr>
    </w:p>
    <w:p w:rsidR="00E231BA" w:rsidRDefault="00E231BA" w:rsidP="00E231BA">
      <w:pPr>
        <w:pStyle w:val="Zkladntext"/>
      </w:pPr>
      <w:r>
        <w:t>Prehľad o</w:t>
      </w:r>
      <w:r w:rsidR="00BA3FB7">
        <w:t> výnosoch pri </w:t>
      </w:r>
      <w:r>
        <w:t>aktiváci</w:t>
      </w:r>
      <w:r w:rsidR="00BA3FB7">
        <w:t xml:space="preserve">i nákladov, výnosoch z hospodárskej činnosti, finančnej činnosti a mimoriadnej činnosti je </w:t>
      </w:r>
      <w:r w:rsidR="0084608E">
        <w:t>uv</w:t>
      </w:r>
      <w:r w:rsidR="00BA3FB7">
        <w:t>edený v nasledujúc</w:t>
      </w:r>
      <w:r w:rsidR="00B825EB">
        <w:t>om</w:t>
      </w:r>
      <w:r w:rsidR="00BA3FB7">
        <w:t xml:space="preserve"> </w:t>
      </w:r>
      <w:r w:rsidR="00B825EB">
        <w:t>prehľade</w:t>
      </w:r>
      <w:r w:rsidR="00BA3FB7">
        <w:t xml:space="preserve">: </w:t>
      </w:r>
    </w:p>
    <w:p w:rsidR="00E231BA" w:rsidRDefault="0084608E" w:rsidP="006C3C80">
      <w:pPr>
        <w:pStyle w:val="Zkladntext"/>
        <w:ind w:left="0"/>
      </w:pPr>
      <w:bookmarkStart w:id="46" w:name="_MON_1393713998"/>
      <w:bookmarkStart w:id="47" w:name="_GoBack"/>
      <w:bookmarkEnd w:id="46"/>
      <w:r>
        <w:rPr>
          <w:noProof/>
        </w:rPr>
        <w:object w:dxaOrig="1440" w:dyaOrig="1440">
          <v:shape id="_x0000_s1057" type="#_x0000_t75" style="position:absolute;left:0;text-align:left;margin-left:-16.5pt;margin-top:24.75pt;width:470.15pt;height:215.65pt;z-index:251659264;mso-position-horizontal-relative:text;mso-position-vertical-relative:text" o:preferrelative="f">
            <v:imagedata r:id="rId50" o:title=""/>
            <o:lock v:ext="edit" aspectratio="f"/>
            <w10:wrap type="square" side="right"/>
          </v:shape>
          <o:OLEObject Type="Embed" ProgID="Excel.Sheet.12" ShapeID="_x0000_s1057" DrawAspect="Content" ObjectID="_1587205935" r:id="rId51"/>
        </w:object>
      </w:r>
      <w:bookmarkEnd w:id="47"/>
      <w:r w:rsidR="00D27650">
        <w:br w:type="textWrapping" w:clear="all"/>
      </w:r>
    </w:p>
    <w:p w:rsidR="005C50FC" w:rsidRDefault="005C50FC" w:rsidP="001A7CD7">
      <w:pPr>
        <w:ind w:left="426"/>
        <w:jc w:val="both"/>
        <w:rPr>
          <w:sz w:val="18"/>
        </w:rPr>
      </w:pPr>
    </w:p>
    <w:p w:rsidR="00CF4E80" w:rsidRDefault="003340C9" w:rsidP="006C3C80">
      <w:pPr>
        <w:spacing w:after="200" w:line="276" w:lineRule="auto"/>
        <w:jc w:val="both"/>
        <w:rPr>
          <w:sz w:val="18"/>
          <w:szCs w:val="18"/>
        </w:rPr>
      </w:pPr>
      <w:r w:rsidRPr="00CF4E80">
        <w:rPr>
          <w:sz w:val="18"/>
          <w:szCs w:val="18"/>
        </w:rPr>
        <w:t xml:space="preserve">Spoločnosť na základe vykázaných výnosov z finančných operácií </w:t>
      </w:r>
      <w:r w:rsidR="00713C45">
        <w:rPr>
          <w:sz w:val="18"/>
          <w:szCs w:val="18"/>
        </w:rPr>
        <w:t xml:space="preserve">zodpovedne </w:t>
      </w:r>
      <w:r w:rsidR="007D659E" w:rsidRPr="00CF4E80">
        <w:rPr>
          <w:sz w:val="18"/>
          <w:szCs w:val="18"/>
        </w:rPr>
        <w:t>zhodnocuj</w:t>
      </w:r>
      <w:r w:rsidR="006C3C80">
        <w:rPr>
          <w:sz w:val="18"/>
          <w:szCs w:val="18"/>
        </w:rPr>
        <w:t xml:space="preserve">e finančné aktíva na báze </w:t>
      </w:r>
      <w:r w:rsidR="007D659E" w:rsidRPr="00CF4E80">
        <w:rPr>
          <w:sz w:val="18"/>
          <w:szCs w:val="18"/>
        </w:rPr>
        <w:t xml:space="preserve">štandardných komerčných vzťahov </w:t>
      </w:r>
      <w:r w:rsidR="00E70730" w:rsidRPr="00CF4E80">
        <w:rPr>
          <w:sz w:val="18"/>
          <w:szCs w:val="18"/>
        </w:rPr>
        <w:t>s</w:t>
      </w:r>
      <w:r w:rsidR="00713C45">
        <w:rPr>
          <w:sz w:val="18"/>
          <w:szCs w:val="18"/>
        </w:rPr>
        <w:t> podporou spolupracujúcej</w:t>
      </w:r>
      <w:r w:rsidR="007D659E" w:rsidRPr="00CF4E80">
        <w:rPr>
          <w:sz w:val="18"/>
          <w:szCs w:val="18"/>
        </w:rPr>
        <w:t xml:space="preserve"> finančn</w:t>
      </w:r>
      <w:r w:rsidR="00713C45">
        <w:rPr>
          <w:sz w:val="18"/>
          <w:szCs w:val="18"/>
        </w:rPr>
        <w:t>ej</w:t>
      </w:r>
      <w:r w:rsidR="007D659E" w:rsidRPr="00CF4E80">
        <w:rPr>
          <w:sz w:val="18"/>
          <w:szCs w:val="18"/>
        </w:rPr>
        <w:t xml:space="preserve"> inštitúci</w:t>
      </w:r>
      <w:r w:rsidR="00713C45">
        <w:rPr>
          <w:sz w:val="18"/>
          <w:szCs w:val="18"/>
        </w:rPr>
        <w:t>e</w:t>
      </w:r>
      <w:r w:rsidR="007D659E" w:rsidRPr="00CF4E80">
        <w:rPr>
          <w:sz w:val="18"/>
          <w:szCs w:val="18"/>
        </w:rPr>
        <w:t>.</w:t>
      </w:r>
    </w:p>
    <w:p w:rsidR="00A31D3C" w:rsidRDefault="00A31D3C">
      <w:pPr>
        <w:spacing w:line="276" w:lineRule="auto"/>
        <w:rPr>
          <w:sz w:val="18"/>
          <w:szCs w:val="18"/>
        </w:rPr>
      </w:pPr>
    </w:p>
    <w:p w:rsidR="005C50FC" w:rsidRDefault="005C50FC" w:rsidP="005C50FC">
      <w:pPr>
        <w:pStyle w:val="Nadpis2"/>
        <w:numPr>
          <w:ilvl w:val="0"/>
          <w:numId w:val="2"/>
        </w:numPr>
      </w:pPr>
      <w:r>
        <w:t xml:space="preserve">Čistý obrat </w:t>
      </w:r>
    </w:p>
    <w:p w:rsidR="005C50FC" w:rsidRDefault="005C50FC" w:rsidP="005C50FC">
      <w:pPr>
        <w:pStyle w:val="Zkladntext"/>
      </w:pPr>
    </w:p>
    <w:p w:rsidR="005C50FC" w:rsidRDefault="005C50FC" w:rsidP="006C3C80">
      <w:pPr>
        <w:pStyle w:val="Zkladntext"/>
        <w:ind w:left="142"/>
      </w:pPr>
      <w:r>
        <w:t xml:space="preserve">Čistý obrat </w:t>
      </w:r>
      <w:r w:rsidR="00351AE8">
        <w:t>s</w:t>
      </w:r>
      <w:r>
        <w:t xml:space="preserve">poločnosti </w:t>
      </w:r>
      <w:r w:rsidR="00351AE8">
        <w:t>pre</w:t>
      </w:r>
      <w:r w:rsidR="00B825EB">
        <w:t xml:space="preserve"> </w:t>
      </w:r>
      <w:r>
        <w:t>účely</w:t>
      </w:r>
      <w:r w:rsidR="00BF5CA9">
        <w:t xml:space="preserve"> zistenia povinnosti overenia individuálnej účtovnej závierky audítorom</w:t>
      </w:r>
      <w:r>
        <w:t xml:space="preserve"> </w:t>
      </w:r>
      <w:r w:rsidR="000F40C4">
        <w:t>[</w:t>
      </w:r>
      <w:r w:rsidRPr="00F85E30">
        <w:t>§ 19 ods. 1 písm. a) zákona o</w:t>
      </w:r>
      <w:r w:rsidR="000F40C4">
        <w:t> </w:t>
      </w:r>
      <w:r w:rsidRPr="00F85E30">
        <w:t>účtovníctve</w:t>
      </w:r>
      <w:r w:rsidR="000F40C4">
        <w:t>]</w:t>
      </w:r>
      <w:r w:rsidRPr="00F85E30">
        <w:t xml:space="preserve"> </w:t>
      </w:r>
      <w:r>
        <w:t>je uvedený v nasledujúcom prehľade:</w:t>
      </w:r>
    </w:p>
    <w:bookmarkStart w:id="48" w:name="_MON_1424516366"/>
    <w:bookmarkEnd w:id="48"/>
    <w:p w:rsidR="0000290B" w:rsidRDefault="0001368E" w:rsidP="006C3C80">
      <w:pPr>
        <w:pStyle w:val="Zkladntext"/>
        <w:ind w:left="0"/>
      </w:pPr>
      <w:r>
        <w:object w:dxaOrig="9129" w:dyaOrig="1435">
          <v:shape id="_x0000_i1041" type="#_x0000_t75" style="width:462pt;height:75pt" o:ole="" o:preferrelative="f">
            <v:imagedata r:id="rId52" o:title=""/>
            <o:lock v:ext="edit" aspectratio="f"/>
          </v:shape>
          <o:OLEObject Type="Embed" ProgID="Excel.Sheet.12" ShapeID="_x0000_i1041" DrawAspect="Content" ObjectID="_1587205922" r:id="rId53"/>
        </w:object>
      </w:r>
      <w:r w:rsidR="0000290B">
        <w:br w:type="page"/>
      </w:r>
    </w:p>
    <w:p w:rsidR="0000290B" w:rsidRDefault="0000290B" w:rsidP="0000290B">
      <w:pPr>
        <w:pStyle w:val="Zkladntext"/>
      </w:pPr>
    </w:p>
    <w:p w:rsidR="0000290B" w:rsidRDefault="0000290B" w:rsidP="00294BAE">
      <w:pPr>
        <w:pStyle w:val="Nadpis2"/>
        <w:numPr>
          <w:ilvl w:val="0"/>
          <w:numId w:val="26"/>
        </w:numPr>
      </w:pPr>
      <w:r>
        <w:t>Náklady na poskytnuté služby</w:t>
      </w:r>
      <w:r w:rsidR="009458E0">
        <w:t xml:space="preserve">, ostatné náklady na hospodársku činnosť, finančné a mimoriadne náklady </w:t>
      </w:r>
    </w:p>
    <w:p w:rsidR="0000290B" w:rsidRDefault="0000290B" w:rsidP="0000290B"/>
    <w:p w:rsidR="0000290B" w:rsidRDefault="0000290B" w:rsidP="0000290B">
      <w:pPr>
        <w:pStyle w:val="Zkladntext"/>
      </w:pPr>
      <w:r w:rsidRPr="00BF5606">
        <w:t xml:space="preserve">Prehľad o nákladoch na </w:t>
      </w:r>
      <w:r w:rsidR="00EF158E">
        <w:t xml:space="preserve">výrobu a </w:t>
      </w:r>
      <w:r w:rsidRPr="00BF5606">
        <w:t>poskytnuté služby</w:t>
      </w:r>
      <w:r w:rsidR="009458E0">
        <w:t>, ostatných nákladoch na hospodársku činnosť, finančných a mimoriadnych nákladoch</w:t>
      </w:r>
      <w:r w:rsidRPr="00BF5606">
        <w:t>:</w:t>
      </w:r>
    </w:p>
    <w:p w:rsidR="0000290B" w:rsidRDefault="0000290B" w:rsidP="0000290B">
      <w:pPr>
        <w:pStyle w:val="Nadpis2"/>
        <w:numPr>
          <w:ilvl w:val="0"/>
          <w:numId w:val="0"/>
        </w:numPr>
        <w:ind w:left="426"/>
      </w:pPr>
    </w:p>
    <w:bookmarkStart w:id="49" w:name="_MON_1424516631"/>
    <w:bookmarkEnd w:id="49"/>
    <w:p w:rsidR="009458E0" w:rsidRDefault="00C50493" w:rsidP="0000290B">
      <w:pPr>
        <w:pStyle w:val="Zkladntext"/>
      </w:pPr>
      <w:r>
        <w:object w:dxaOrig="8809" w:dyaOrig="7173">
          <v:shape id="_x0000_i1042" type="#_x0000_t75" style="width:441.75pt;height:400.5pt" o:ole="" o:preferrelative="f">
            <v:imagedata r:id="rId54" o:title=""/>
            <o:lock v:ext="edit" aspectratio="f"/>
          </v:shape>
          <o:OLEObject Type="Embed" ProgID="Excel.Sheet.12" ShapeID="_x0000_i1042" DrawAspect="Content" ObjectID="_1587205923" r:id="rId55"/>
        </w:object>
      </w:r>
    </w:p>
    <w:p w:rsidR="0000290B" w:rsidRDefault="0000290B" w:rsidP="0000290B">
      <w:pPr>
        <w:pStyle w:val="Zkladntext"/>
      </w:pPr>
    </w:p>
    <w:p w:rsidR="0000290B" w:rsidRDefault="0000290B" w:rsidP="0000290B">
      <w:pPr>
        <w:pStyle w:val="Zkladntext"/>
      </w:pPr>
    </w:p>
    <w:p w:rsidR="009F5CF7" w:rsidRDefault="009F5CF7" w:rsidP="0000290B">
      <w:pPr>
        <w:pStyle w:val="Zkladntext"/>
      </w:pPr>
    </w:p>
    <w:p w:rsidR="00DB76F6" w:rsidRDefault="00DB76F6" w:rsidP="00925DC4">
      <w:pPr>
        <w:pStyle w:val="Nadpis1"/>
        <w:numPr>
          <w:ilvl w:val="0"/>
          <w:numId w:val="0"/>
        </w:numPr>
        <w:spacing w:before="120" w:after="60"/>
        <w:ind w:left="360"/>
      </w:pPr>
    </w:p>
    <w:p w:rsidR="00DB76F6" w:rsidRDefault="00DB76F6" w:rsidP="00925DC4">
      <w:pPr>
        <w:pStyle w:val="Nadpis1"/>
        <w:numPr>
          <w:ilvl w:val="0"/>
          <w:numId w:val="0"/>
        </w:numPr>
        <w:spacing w:before="120" w:after="60"/>
        <w:ind w:left="360"/>
      </w:pPr>
    </w:p>
    <w:p w:rsidR="00DB76F6" w:rsidRDefault="00DB76F6" w:rsidP="00925DC4">
      <w:pPr>
        <w:pStyle w:val="Nadpis1"/>
        <w:numPr>
          <w:ilvl w:val="0"/>
          <w:numId w:val="0"/>
        </w:numPr>
        <w:spacing w:before="120" w:after="60"/>
        <w:ind w:left="360"/>
      </w:pPr>
    </w:p>
    <w:p w:rsidR="00DB76F6" w:rsidRDefault="00DB76F6" w:rsidP="00925DC4">
      <w:pPr>
        <w:pStyle w:val="Nadpis1"/>
        <w:numPr>
          <w:ilvl w:val="0"/>
          <w:numId w:val="0"/>
        </w:numPr>
        <w:spacing w:before="120" w:after="60"/>
        <w:ind w:left="360"/>
      </w:pPr>
    </w:p>
    <w:p w:rsidR="00DB76F6" w:rsidRDefault="00DB76F6" w:rsidP="00925DC4">
      <w:pPr>
        <w:pStyle w:val="Nadpis1"/>
        <w:numPr>
          <w:ilvl w:val="0"/>
          <w:numId w:val="0"/>
        </w:numPr>
        <w:spacing w:before="120" w:after="60"/>
        <w:ind w:left="360"/>
      </w:pPr>
    </w:p>
    <w:p w:rsidR="00DB76F6" w:rsidRDefault="00DB76F6" w:rsidP="00925DC4">
      <w:pPr>
        <w:pStyle w:val="Nadpis1"/>
        <w:numPr>
          <w:ilvl w:val="0"/>
          <w:numId w:val="0"/>
        </w:numPr>
        <w:spacing w:before="120" w:after="60"/>
        <w:ind w:left="360"/>
      </w:pPr>
    </w:p>
    <w:p w:rsidR="00DB76F6" w:rsidRDefault="00DB76F6" w:rsidP="00925DC4">
      <w:pPr>
        <w:pStyle w:val="Nadpis1"/>
        <w:numPr>
          <w:ilvl w:val="0"/>
          <w:numId w:val="0"/>
        </w:numPr>
        <w:spacing w:before="120" w:after="60"/>
        <w:ind w:left="360"/>
      </w:pPr>
    </w:p>
    <w:p w:rsidR="00DB76F6" w:rsidRDefault="00DB76F6" w:rsidP="00925DC4">
      <w:pPr>
        <w:pStyle w:val="Nadpis1"/>
        <w:numPr>
          <w:ilvl w:val="0"/>
          <w:numId w:val="0"/>
        </w:numPr>
        <w:spacing w:before="120" w:after="60"/>
        <w:ind w:left="360"/>
      </w:pPr>
    </w:p>
    <w:p w:rsidR="00DB76F6" w:rsidRPr="00DB76F6" w:rsidRDefault="00DB76F6" w:rsidP="00DB76F6"/>
    <w:p w:rsidR="00DF5A64" w:rsidRDefault="00DF5A64" w:rsidP="00925DC4">
      <w:pPr>
        <w:pStyle w:val="Nadpis1"/>
        <w:numPr>
          <w:ilvl w:val="0"/>
          <w:numId w:val="0"/>
        </w:numPr>
        <w:spacing w:before="120" w:after="60"/>
        <w:ind w:left="360"/>
      </w:pPr>
    </w:p>
    <w:p w:rsidR="0000290B" w:rsidRDefault="00925DC4" w:rsidP="00925DC4">
      <w:pPr>
        <w:pStyle w:val="Nadpis1"/>
        <w:numPr>
          <w:ilvl w:val="0"/>
          <w:numId w:val="0"/>
        </w:numPr>
        <w:spacing w:before="120" w:after="60"/>
        <w:ind w:left="360"/>
      </w:pPr>
      <w:r>
        <w:t>I</w:t>
      </w:r>
      <w:r w:rsidR="0000290B">
        <w:t>nformácie o daniach z príjmov</w:t>
      </w:r>
    </w:p>
    <w:p w:rsidR="00800C13" w:rsidRDefault="00800C13" w:rsidP="00800C13"/>
    <w:p w:rsidR="00D86B67" w:rsidRDefault="00D86B67" w:rsidP="0000290B">
      <w:pPr>
        <w:pStyle w:val="Zkladntext"/>
      </w:pPr>
      <w:r>
        <w:t>Spoločnosť nevykazuje odloženú daň.</w:t>
      </w:r>
    </w:p>
    <w:p w:rsidR="0000290B" w:rsidRDefault="0000290B" w:rsidP="0000290B">
      <w:pPr>
        <w:pStyle w:val="Zkladntext"/>
      </w:pPr>
      <w:r>
        <w:t>Prevod od teoretickej dane z príjmov k vykázanej dani z príjmov je uvedený v nasledujúcom prehľade:</w:t>
      </w:r>
    </w:p>
    <w:p w:rsidR="00C37CB8" w:rsidRDefault="00C37CB8" w:rsidP="0000290B">
      <w:pPr>
        <w:pStyle w:val="Zkladntext"/>
      </w:pPr>
    </w:p>
    <w:p w:rsidR="00B30B35" w:rsidRDefault="006221F3" w:rsidP="0000290B">
      <w:pPr>
        <w:pStyle w:val="Zkladntext"/>
      </w:pPr>
      <w:r>
        <w:rPr>
          <w:noProof/>
        </w:rPr>
        <w:object w:dxaOrig="1440" w:dyaOrig="1440">
          <v:shape id="_x0000_s1173" type="#_x0000_t75" style="position:absolute;left:0;text-align:left;margin-left:0;margin-top:0;width:438.5pt;height:268.9pt;z-index:251671552;mso-position-horizontal:left;mso-position-horizontal-relative:text;mso-position-vertical-relative:text">
            <v:imagedata r:id="rId56" o:title=""/>
            <w10:wrap type="square" side="right"/>
          </v:shape>
          <o:OLEObject Type="Embed" ProgID="Excel.Sheet.12" ShapeID="_x0000_s1173" DrawAspect="Content" ObjectID="_1587205936" r:id="rId57"/>
        </w:object>
      </w:r>
    </w:p>
    <w:p w:rsidR="00B30B35" w:rsidRPr="00B30B35" w:rsidRDefault="00B30B35" w:rsidP="00B30B35"/>
    <w:p w:rsidR="0000290B" w:rsidRDefault="0000290B" w:rsidP="00925DC4">
      <w:pPr>
        <w:pStyle w:val="Nadpis1"/>
        <w:numPr>
          <w:ilvl w:val="0"/>
          <w:numId w:val="0"/>
        </w:numPr>
        <w:spacing w:before="120" w:after="60"/>
        <w:ind w:left="360"/>
      </w:pPr>
      <w:r>
        <w:t>Informácie o údajoch na podsúvahových  účtoch</w:t>
      </w:r>
    </w:p>
    <w:p w:rsidR="0000290B" w:rsidRDefault="0000290B" w:rsidP="0000290B">
      <w:pPr>
        <w:pStyle w:val="Zkladntext"/>
      </w:pPr>
    </w:p>
    <w:p w:rsidR="0000290B" w:rsidRDefault="0000290B" w:rsidP="002F770F">
      <w:pPr>
        <w:pStyle w:val="Nadpis2"/>
        <w:numPr>
          <w:ilvl w:val="0"/>
          <w:numId w:val="28"/>
        </w:numPr>
      </w:pPr>
      <w:bookmarkStart w:id="50" w:name="_Toc530739920"/>
      <w:r>
        <w:t>Najatý majetok</w:t>
      </w:r>
      <w:bookmarkEnd w:id="50"/>
    </w:p>
    <w:p w:rsidR="0000290B" w:rsidRDefault="0000290B" w:rsidP="0000290B">
      <w:pPr>
        <w:pStyle w:val="Zkladntext"/>
      </w:pPr>
    </w:p>
    <w:p w:rsidR="0000290B" w:rsidRDefault="0000290B" w:rsidP="0000290B">
      <w:pPr>
        <w:pStyle w:val="Zkladntext"/>
      </w:pPr>
      <w:bookmarkStart w:id="51" w:name="OLE_LINK1"/>
      <w:bookmarkStart w:id="52" w:name="OLE_LINK2"/>
      <w:r>
        <w:t xml:space="preserve">Spoločnosť </w:t>
      </w:r>
      <w:bookmarkEnd w:id="51"/>
      <w:bookmarkEnd w:id="52"/>
      <w:r w:rsidR="00DE176E">
        <w:t>nemá v nájme žiaden majetok.</w:t>
      </w:r>
    </w:p>
    <w:p w:rsidR="0000290B" w:rsidRDefault="0000290B" w:rsidP="0000290B">
      <w:pPr>
        <w:pStyle w:val="Zkladntext"/>
      </w:pPr>
    </w:p>
    <w:p w:rsidR="0000290B" w:rsidRDefault="0000290B" w:rsidP="0000290B">
      <w:pPr>
        <w:pStyle w:val="Nadpis2"/>
      </w:pPr>
      <w:r>
        <w:t>Prenajatý majetok</w:t>
      </w:r>
    </w:p>
    <w:p w:rsidR="0000290B" w:rsidRDefault="0000290B" w:rsidP="0000290B">
      <w:pPr>
        <w:pStyle w:val="Zkladntext"/>
      </w:pPr>
    </w:p>
    <w:p w:rsidR="00FF7320" w:rsidRDefault="0000290B" w:rsidP="00FF7320">
      <w:pPr>
        <w:pStyle w:val="Zkladntext"/>
      </w:pPr>
      <w:r>
        <w:t xml:space="preserve">Spoločnosť </w:t>
      </w:r>
      <w:r w:rsidR="00FF7320">
        <w:t xml:space="preserve">na svoju činnosť používa výlučne svoj majetok, ktorý má vo vlastníctve s evidenciou na príslušných inštitúciách podľa charakteru majetku a pravidiel jeho evidencie. Prebytočné kancelárske kapacity  v sídle spoločnosti </w:t>
      </w:r>
      <w:r w:rsidR="00DE176E">
        <w:t xml:space="preserve">a priestory penziónu </w:t>
      </w:r>
      <w:r w:rsidR="00FF7320">
        <w:t>spoločnosť prenajíma na základe uzatvorených nájomných zmlúv iným podnikateľským subjektom.</w:t>
      </w:r>
    </w:p>
    <w:p w:rsidR="00FF7320" w:rsidRDefault="00FF7320" w:rsidP="00FF7320">
      <w:pPr>
        <w:pStyle w:val="Zkladntext"/>
      </w:pPr>
    </w:p>
    <w:p w:rsidR="00283139" w:rsidRDefault="00283139" w:rsidP="0000290B">
      <w:pPr>
        <w:pStyle w:val="Zkladntext"/>
      </w:pPr>
    </w:p>
    <w:p w:rsidR="0000290B" w:rsidRDefault="0000290B" w:rsidP="00085ECF">
      <w:pPr>
        <w:pStyle w:val="Nadpis1"/>
        <w:numPr>
          <w:ilvl w:val="0"/>
          <w:numId w:val="37"/>
        </w:numPr>
        <w:spacing w:before="120" w:after="60"/>
        <w:ind w:left="360"/>
      </w:pPr>
      <w:r>
        <w:t>Informácie o iných aktívach a iných pasívach</w:t>
      </w:r>
    </w:p>
    <w:p w:rsidR="0000290B" w:rsidRDefault="0000290B" w:rsidP="0000290B">
      <w:pPr>
        <w:pStyle w:val="Zkladntext"/>
        <w:ind w:left="0"/>
      </w:pPr>
    </w:p>
    <w:p w:rsidR="0000290B" w:rsidRDefault="0000290B" w:rsidP="002F770F">
      <w:pPr>
        <w:pStyle w:val="Nadpis2"/>
        <w:numPr>
          <w:ilvl w:val="0"/>
          <w:numId w:val="29"/>
        </w:numPr>
      </w:pPr>
      <w:bookmarkStart w:id="53" w:name="_Toc530739921"/>
      <w:r>
        <w:t>Podmienené záväzky</w:t>
      </w:r>
      <w:bookmarkEnd w:id="53"/>
    </w:p>
    <w:p w:rsidR="0000290B" w:rsidRDefault="0000290B" w:rsidP="0000290B">
      <w:pPr>
        <w:pStyle w:val="Zkladntext"/>
      </w:pPr>
    </w:p>
    <w:p w:rsidR="0000290B" w:rsidRDefault="0000290B" w:rsidP="0000290B">
      <w:pPr>
        <w:pStyle w:val="Zkladntext"/>
      </w:pPr>
      <w:r>
        <w:t xml:space="preserve">Spoločnosť </w:t>
      </w:r>
      <w:r w:rsidR="00FF7320">
        <w:t>ne</w:t>
      </w:r>
      <w:r>
        <w:t xml:space="preserve">má </w:t>
      </w:r>
      <w:r w:rsidR="00FF7320">
        <w:t xml:space="preserve">žiadne </w:t>
      </w:r>
      <w:r>
        <w:t xml:space="preserve"> podmienené záväzky, ktoré </w:t>
      </w:r>
      <w:r w:rsidR="00FF7320">
        <w:t xml:space="preserve">by </w:t>
      </w:r>
      <w:r>
        <w:t>sa nesled</w:t>
      </w:r>
      <w:r w:rsidR="00FF7320">
        <w:t>ovali</w:t>
      </w:r>
      <w:r>
        <w:t xml:space="preserve"> v bežnom účtovníctve a neuvádza</w:t>
      </w:r>
      <w:r w:rsidR="00FF7320">
        <w:t>li</w:t>
      </w:r>
      <w:r>
        <w:t xml:space="preserve"> v súvahe:</w:t>
      </w:r>
    </w:p>
    <w:p w:rsidR="0000290B" w:rsidRDefault="0000290B" w:rsidP="0000290B">
      <w:pPr>
        <w:pStyle w:val="Zkladntext"/>
      </w:pPr>
    </w:p>
    <w:p w:rsidR="0000290B" w:rsidRDefault="0000290B" w:rsidP="0000290B">
      <w:pPr>
        <w:pStyle w:val="Zkladntext"/>
      </w:pPr>
      <w:r>
        <w:t xml:space="preserve">Vzhľadom na to, že mnohé oblasti slovenského daňového práva doteraz neboli dostatočne overené praxou, existuje neistota v tom, ako </w:t>
      </w:r>
      <w:r w:rsidR="00FF7320">
        <w:t xml:space="preserve">by </w:t>
      </w:r>
      <w:r w:rsidR="004D5AEE">
        <w:t xml:space="preserve">ich </w:t>
      </w:r>
      <w:r w:rsidR="00FF7320">
        <w:t xml:space="preserve">v prípade </w:t>
      </w:r>
      <w:r>
        <w:t xml:space="preserve">ich </w:t>
      </w:r>
      <w:r w:rsidR="00FF7320">
        <w:t>existencie</w:t>
      </w:r>
      <w:r>
        <w:t xml:space="preserve"> daňové orgány aplikova</w:t>
      </w:r>
      <w:r w:rsidR="00FF7320">
        <w:t>li</w:t>
      </w:r>
      <w:r>
        <w:t xml:space="preserve">. Mieru tejto neistoty nie je možné kvantifikovať a zanikne až potom, keď budú k dispozícii právne precedensy, prípadne oficiálne interpretácie príslušných </w:t>
      </w:r>
      <w:r w:rsidR="004D5AEE">
        <w:t xml:space="preserve">finančných </w:t>
      </w:r>
      <w:r>
        <w:t>orgánov.</w:t>
      </w:r>
    </w:p>
    <w:p w:rsidR="0017267A" w:rsidRDefault="0017267A">
      <w:pPr>
        <w:spacing w:after="200" w:line="276" w:lineRule="auto"/>
        <w:rPr>
          <w:sz w:val="18"/>
        </w:rPr>
      </w:pPr>
    </w:p>
    <w:p w:rsidR="0000290B" w:rsidRDefault="0000290B" w:rsidP="0000290B">
      <w:pPr>
        <w:pStyle w:val="Nadpis2"/>
        <w:numPr>
          <w:ilvl w:val="0"/>
          <w:numId w:val="2"/>
        </w:numPr>
      </w:pPr>
      <w:bookmarkStart w:id="54" w:name="_Toc530739922"/>
      <w:r>
        <w:t>Ostatné finančné povinnosti</w:t>
      </w:r>
      <w:bookmarkEnd w:id="54"/>
    </w:p>
    <w:p w:rsidR="0000290B" w:rsidRDefault="0000290B" w:rsidP="0000290B">
      <w:pPr>
        <w:pStyle w:val="Zkladntext"/>
      </w:pPr>
    </w:p>
    <w:p w:rsidR="0000290B" w:rsidRDefault="004D5AEE" w:rsidP="0000290B">
      <w:pPr>
        <w:pStyle w:val="Zkladntext"/>
      </w:pPr>
      <w:r>
        <w:t xml:space="preserve">Spoločnosť </w:t>
      </w:r>
      <w:r w:rsidR="00F02AA7">
        <w:t>nemá</w:t>
      </w:r>
      <w:r>
        <w:t xml:space="preserve"> </w:t>
      </w:r>
      <w:r w:rsidR="0000290B">
        <w:t>finančné povinnosti, ktoré sa nesledujú v bežnom účtovníctve a neuvádzajú v súvahe</w:t>
      </w:r>
      <w:r>
        <w:t xml:space="preserve">. </w:t>
      </w:r>
    </w:p>
    <w:p w:rsidR="0000290B" w:rsidRDefault="0000290B" w:rsidP="0000290B">
      <w:pPr>
        <w:pStyle w:val="Zkladntext"/>
      </w:pPr>
    </w:p>
    <w:p w:rsidR="00F02AA7" w:rsidRDefault="00F02AA7" w:rsidP="0000290B">
      <w:pPr>
        <w:pStyle w:val="Zkladntext"/>
      </w:pPr>
    </w:p>
    <w:p w:rsidR="0000290B" w:rsidRDefault="0000290B" w:rsidP="0000290B">
      <w:pPr>
        <w:pStyle w:val="Nadpis2"/>
        <w:numPr>
          <w:ilvl w:val="0"/>
          <w:numId w:val="2"/>
        </w:numPr>
      </w:pPr>
      <w:r>
        <w:t>Podmienený majetok</w:t>
      </w:r>
    </w:p>
    <w:p w:rsidR="0000290B" w:rsidRPr="00DB0ECB" w:rsidRDefault="0000290B" w:rsidP="0000290B"/>
    <w:p w:rsidR="0000290B" w:rsidRDefault="0000290B" w:rsidP="0000290B">
      <w:pPr>
        <w:pStyle w:val="Zkladntext"/>
      </w:pPr>
      <w:r>
        <w:t xml:space="preserve">Spoločnosť </w:t>
      </w:r>
      <w:r w:rsidR="004E7CD0">
        <w:t xml:space="preserve">nemá </w:t>
      </w:r>
      <w:r w:rsidR="004D5AEE">
        <w:t>podmienený majetok.</w:t>
      </w:r>
      <w:r>
        <w:t xml:space="preserve"> </w:t>
      </w:r>
    </w:p>
    <w:p w:rsidR="0000290B" w:rsidRDefault="0000290B" w:rsidP="0000290B">
      <w:pPr>
        <w:pStyle w:val="Zkladntext"/>
        <w:ind w:left="0"/>
      </w:pPr>
    </w:p>
    <w:p w:rsidR="0000290B" w:rsidRDefault="0000290B" w:rsidP="00085ECF">
      <w:pPr>
        <w:pStyle w:val="Nadpis1"/>
        <w:numPr>
          <w:ilvl w:val="0"/>
          <w:numId w:val="37"/>
        </w:numPr>
        <w:spacing w:before="120" w:after="60"/>
        <w:ind w:left="360"/>
      </w:pPr>
      <w:bookmarkStart w:id="55" w:name="_Toc530739923"/>
      <w:r>
        <w:t>Informácie o príjmoch a výhodách členov štatutárnych orgánov, dozorných orgánov</w:t>
      </w:r>
      <w:bookmarkEnd w:id="55"/>
      <w:r>
        <w:t xml:space="preserve"> a iných orgánov účtovnej jednotky</w:t>
      </w:r>
    </w:p>
    <w:p w:rsidR="0000290B" w:rsidRDefault="0000290B" w:rsidP="0000290B">
      <w:pPr>
        <w:pStyle w:val="Zkladntext"/>
      </w:pPr>
    </w:p>
    <w:p w:rsidR="0000290B" w:rsidRDefault="004D5AEE" w:rsidP="0000290B">
      <w:pPr>
        <w:pStyle w:val="Zkladntext"/>
      </w:pPr>
      <w:r>
        <w:t>Členovia štatutárnych orgánov spoločnosti nie sú zvlášť odmeňovaný ich finančné ohodnotenie je viazané na čistý zisk spoločnosti a odmeny sa realizujú prostre</w:t>
      </w:r>
      <w:r w:rsidR="00887821">
        <w:t>dn</w:t>
      </w:r>
      <w:r>
        <w:t xml:space="preserve">íctvom tantiém </w:t>
      </w:r>
      <w:r w:rsidR="00887821">
        <w:t xml:space="preserve">schválených valným zhromaždením akcionárov spoločnosti. V prípade výkonu práce nad rámec povinností vyplývajúcich z funkčného zaradenia člena orgánu spoločnosti tento je odmeňovaný mesačnou odmenou vo výške </w:t>
      </w:r>
      <w:r w:rsidR="00BA65D7">
        <w:t>560</w:t>
      </w:r>
      <w:r w:rsidR="00887821">
        <w:t xml:space="preserve"> EUR. Žiaden z členov štatutárneho orgánu spoločnosti nemá voči nej finančný alebo iný záväzok ani mu nebola poskytnutá pôžička alebo iný finančný pôžitok. </w:t>
      </w:r>
    </w:p>
    <w:p w:rsidR="00720EB3" w:rsidRDefault="00720EB3" w:rsidP="0000290B">
      <w:pPr>
        <w:pStyle w:val="Zkladntext"/>
      </w:pPr>
    </w:p>
    <w:p w:rsidR="00720EB3" w:rsidRDefault="00720EB3" w:rsidP="0000290B">
      <w:pPr>
        <w:pStyle w:val="Zkladntext"/>
      </w:pPr>
    </w:p>
    <w:p w:rsidR="00C672BA" w:rsidRDefault="00C672BA" w:rsidP="0000290B">
      <w:pPr>
        <w:pStyle w:val="Zkladntext"/>
      </w:pPr>
      <w:r>
        <w:t>Prehľad o príjmoch a výhodách členov štatutárnych, dozorných a iných orgánov:</w:t>
      </w:r>
    </w:p>
    <w:bookmarkStart w:id="56" w:name="_MON_1423998246"/>
    <w:bookmarkEnd w:id="56"/>
    <w:p w:rsidR="00006F02" w:rsidRDefault="00530BC0" w:rsidP="0000290B">
      <w:pPr>
        <w:pStyle w:val="Zkladntext"/>
      </w:pPr>
      <w:r>
        <w:object w:dxaOrig="9741" w:dyaOrig="2327">
          <v:shape id="_x0000_i1043" type="#_x0000_t75" style="width:441pt;height:117.75pt" o:ole="" o:preferrelative="f">
            <v:imagedata r:id="rId58" o:title=""/>
            <o:lock v:ext="edit" aspectratio="f"/>
          </v:shape>
          <o:OLEObject Type="Embed" ProgID="Excel.Sheet.12" ShapeID="_x0000_i1043" DrawAspect="Content" ObjectID="_1587205924" r:id="rId59"/>
        </w:object>
      </w:r>
    </w:p>
    <w:p w:rsidR="00DE176E" w:rsidRDefault="00DE176E" w:rsidP="00DE176E">
      <w:pPr>
        <w:pStyle w:val="Nadpis1"/>
        <w:numPr>
          <w:ilvl w:val="0"/>
          <w:numId w:val="0"/>
        </w:numPr>
        <w:spacing w:before="120" w:after="60"/>
        <w:ind w:left="360"/>
      </w:pPr>
      <w:bookmarkStart w:id="57" w:name="_Toc530739924"/>
    </w:p>
    <w:p w:rsidR="0000290B" w:rsidRDefault="0000290B" w:rsidP="00085ECF">
      <w:pPr>
        <w:pStyle w:val="Nadpis1"/>
        <w:numPr>
          <w:ilvl w:val="0"/>
          <w:numId w:val="37"/>
        </w:numPr>
        <w:spacing w:before="120" w:after="60"/>
        <w:ind w:left="360"/>
      </w:pPr>
      <w:r>
        <w:t>Informácie o ekonomických vzťahoch účtovnej jednotky a spriaznených osôb</w:t>
      </w:r>
      <w:bookmarkEnd w:id="57"/>
    </w:p>
    <w:p w:rsidR="0000290B" w:rsidRDefault="0000290B" w:rsidP="0000290B">
      <w:pPr>
        <w:pStyle w:val="Zkladntext"/>
      </w:pPr>
    </w:p>
    <w:p w:rsidR="00A94188" w:rsidRDefault="002A7256" w:rsidP="0000290B">
      <w:pPr>
        <w:pStyle w:val="Zkladntext"/>
      </w:pPr>
      <w:r>
        <w:t xml:space="preserve">Významným akcionárom spoločnosti je spoločnosť PRO POPULO Poprad </w:t>
      </w:r>
      <w:proofErr w:type="spellStart"/>
      <w:r>
        <w:t>s.r.o</w:t>
      </w:r>
      <w:proofErr w:type="spellEnd"/>
      <w:r>
        <w:t xml:space="preserve">., ktorá vlastní cca </w:t>
      </w:r>
      <w:r w:rsidR="00287997">
        <w:t>30,9</w:t>
      </w:r>
      <w:r w:rsidR="00BA65D7">
        <w:t>3</w:t>
      </w:r>
      <w:r>
        <w:t xml:space="preserve">% podiel akcií z celkovej emisie akcií na doručiteľa a cca 43% podiel akcií na meno. Súčasne je spoločnosť významným dodávateľom surovej drevnej hmoty do prevádzky píla Levoča kde dodávky drevnej hmoty sa realizujú na báze ¼ ročných zmluvných dodávok a sú strategickým stabilizačným faktorom v podnikaní spoločnosti.  Pravidelnosť dodávok drevnej hmoty veľmi pozitívne ovplyvňuje ekonomiku spoločnosti. </w:t>
      </w:r>
    </w:p>
    <w:p w:rsidR="00F24EF7" w:rsidRDefault="00F24EF7" w:rsidP="0000290B">
      <w:pPr>
        <w:pStyle w:val="Zkladntext"/>
      </w:pPr>
      <w:r>
        <w:t xml:space="preserve">Všetky obchody </w:t>
      </w:r>
      <w:r w:rsidR="00A94188">
        <w:t>so spriaznenými oso</w:t>
      </w:r>
      <w:r>
        <w:t xml:space="preserve">bami </w:t>
      </w:r>
      <w:r w:rsidR="00331A99">
        <w:t>s</w:t>
      </w:r>
      <w:r w:rsidR="0000290B">
        <w:t xml:space="preserve">poločnosť uskutočnila </w:t>
      </w:r>
      <w:r>
        <w:t xml:space="preserve">za bežných trhových podmienok. </w:t>
      </w:r>
    </w:p>
    <w:p w:rsidR="0000290B" w:rsidRDefault="00F24EF7" w:rsidP="0000290B">
      <w:pPr>
        <w:pStyle w:val="Zkladntext"/>
      </w:pPr>
      <w:r>
        <w:t>V</w:t>
      </w:r>
      <w:r w:rsidR="0000290B">
        <w:t xml:space="preserve"> priebehu účtovného obdobia nasledujúce </w:t>
      </w:r>
      <w:r w:rsidR="002A7256">
        <w:t>obchodné t</w:t>
      </w:r>
      <w:r w:rsidR="0000290B">
        <w:t>ransakcie s</w:t>
      </w:r>
      <w:r w:rsidR="002A7256">
        <w:t xml:space="preserve"> touto</w:t>
      </w:r>
      <w:r w:rsidR="0000290B">
        <w:t xml:space="preserve"> spriaznen</w:t>
      </w:r>
      <w:r w:rsidR="00301CB4">
        <w:t>ou</w:t>
      </w:r>
      <w:r w:rsidR="0000290B">
        <w:t xml:space="preserve"> osob</w:t>
      </w:r>
      <w:r w:rsidR="00301CB4">
        <w:t>ou</w:t>
      </w:r>
      <w:r w:rsidR="002A7256">
        <w:t>:</w:t>
      </w:r>
    </w:p>
    <w:p w:rsidR="0000290B" w:rsidRDefault="0000290B" w:rsidP="0000290B">
      <w:pPr>
        <w:pStyle w:val="Zkladntext"/>
      </w:pPr>
    </w:p>
    <w:bookmarkStart w:id="58" w:name="_MON_1393718454"/>
    <w:bookmarkEnd w:id="58"/>
    <w:p w:rsidR="00075B41" w:rsidRDefault="00DD0907">
      <w:pPr>
        <w:pStyle w:val="Zkladntext"/>
      </w:pPr>
      <w:r w:rsidRPr="00A9048F">
        <w:object w:dxaOrig="8905" w:dyaOrig="2330">
          <v:shape id="_x0000_i1044" type="#_x0000_t75" style="width:441.75pt;height:128.25pt" o:ole="" o:preferrelative="f">
            <v:imagedata r:id="rId60" o:title=""/>
            <o:lock v:ext="edit" aspectratio="f"/>
          </v:shape>
          <o:OLEObject Type="Embed" ProgID="Excel.Sheet.12" ShapeID="_x0000_i1044" DrawAspect="Content" ObjectID="_1587205925" r:id="rId61"/>
        </w:object>
      </w:r>
    </w:p>
    <w:p w:rsidR="004313A2" w:rsidRDefault="00301CB4" w:rsidP="004313A2">
      <w:pPr>
        <w:pStyle w:val="Zkladntext"/>
        <w:rPr>
          <w:i/>
        </w:rPr>
      </w:pPr>
      <w:r>
        <w:t xml:space="preserve">LEGENDA:     kód  </w:t>
      </w:r>
      <w:r>
        <w:rPr>
          <w:i/>
        </w:rPr>
        <w:t>01 – dodávka základného materiálu</w:t>
      </w:r>
    </w:p>
    <w:p w:rsidR="00301CB4" w:rsidRDefault="00301CB4" w:rsidP="004313A2">
      <w:pPr>
        <w:pStyle w:val="Zkladntext"/>
        <w:rPr>
          <w:i/>
        </w:rPr>
      </w:pPr>
      <w:r>
        <w:t xml:space="preserve">                                </w:t>
      </w:r>
      <w:r>
        <w:rPr>
          <w:i/>
        </w:rPr>
        <w:t>02 – predaj nepotrebnej techniky</w:t>
      </w:r>
    </w:p>
    <w:p w:rsidR="00DF5A64" w:rsidRDefault="00DF5A64" w:rsidP="004313A2">
      <w:pPr>
        <w:pStyle w:val="Zkladntext"/>
        <w:rPr>
          <w:i/>
        </w:rPr>
      </w:pPr>
    </w:p>
    <w:p w:rsidR="00DF5A64" w:rsidRDefault="00DF5A64" w:rsidP="004313A2">
      <w:pPr>
        <w:pStyle w:val="Zkladntext"/>
        <w:rPr>
          <w:i/>
        </w:rPr>
      </w:pPr>
    </w:p>
    <w:p w:rsidR="00DF5A64" w:rsidRDefault="00DF5A64" w:rsidP="004313A2">
      <w:pPr>
        <w:pStyle w:val="Zkladntext"/>
        <w:rPr>
          <w:i/>
        </w:rPr>
      </w:pPr>
    </w:p>
    <w:p w:rsidR="00DF5A64" w:rsidRDefault="00DF5A64" w:rsidP="004313A2">
      <w:pPr>
        <w:pStyle w:val="Zkladntext"/>
        <w:rPr>
          <w:i/>
        </w:rPr>
      </w:pPr>
    </w:p>
    <w:p w:rsidR="00DF5A64" w:rsidRDefault="00DF5A64" w:rsidP="004313A2">
      <w:pPr>
        <w:pStyle w:val="Zkladntext"/>
        <w:rPr>
          <w:i/>
        </w:rPr>
      </w:pPr>
    </w:p>
    <w:p w:rsidR="00DF5A64" w:rsidRDefault="00DF5A64" w:rsidP="004313A2">
      <w:pPr>
        <w:pStyle w:val="Zkladntext"/>
        <w:rPr>
          <w:i/>
        </w:rPr>
      </w:pPr>
    </w:p>
    <w:p w:rsidR="00DF5A64" w:rsidRDefault="00DF5A64" w:rsidP="004313A2">
      <w:pPr>
        <w:pStyle w:val="Zkladntext"/>
        <w:rPr>
          <w:i/>
        </w:rPr>
      </w:pPr>
    </w:p>
    <w:p w:rsidR="00DF5A64" w:rsidRDefault="00DF5A64" w:rsidP="004313A2">
      <w:pPr>
        <w:pStyle w:val="Zkladntext"/>
        <w:rPr>
          <w:i/>
        </w:rPr>
      </w:pPr>
    </w:p>
    <w:p w:rsidR="00DF5A64" w:rsidRPr="00301CB4" w:rsidRDefault="00DF5A64" w:rsidP="004313A2">
      <w:pPr>
        <w:pStyle w:val="Zkladntext"/>
        <w:rPr>
          <w:i/>
        </w:rPr>
      </w:pPr>
    </w:p>
    <w:p w:rsidR="004313A2" w:rsidRDefault="004313A2" w:rsidP="003E0FA2">
      <w:pPr>
        <w:pStyle w:val="Zkladntext"/>
        <w:ind w:left="0" w:firstLine="426"/>
      </w:pPr>
    </w:p>
    <w:p w:rsidR="003E0FA2" w:rsidRDefault="003E0FA2" w:rsidP="003E0FA2">
      <w:pPr>
        <w:pStyle w:val="Zkladntext"/>
        <w:ind w:left="0" w:firstLine="426"/>
      </w:pPr>
      <w:r>
        <w:t>Vybrané aktíva a pasíva vyplývajúce z transakcií so spriaznenými osobami sú uvedené v nasledujúcom prehľade:</w:t>
      </w:r>
    </w:p>
    <w:p w:rsidR="00FA2A9D" w:rsidRDefault="00FA2A9D" w:rsidP="003E0FA2">
      <w:pPr>
        <w:pStyle w:val="Zkladntext"/>
        <w:ind w:left="0" w:firstLine="426"/>
      </w:pPr>
    </w:p>
    <w:bookmarkStart w:id="59" w:name="_MON_1423998776"/>
    <w:bookmarkEnd w:id="59"/>
    <w:p w:rsidR="00627B6C" w:rsidRPr="002F770F" w:rsidRDefault="00DF5A64" w:rsidP="002F770F">
      <w:pPr>
        <w:pStyle w:val="Zkladntext"/>
      </w:pPr>
      <w:r>
        <w:object w:dxaOrig="9032" w:dyaOrig="1924">
          <v:shape id="_x0000_i1045" type="#_x0000_t75" style="width:439.5pt;height:99pt" o:ole="" o:preferrelative="f">
            <v:imagedata r:id="rId62" o:title=""/>
            <o:lock v:ext="edit" aspectratio="f"/>
          </v:shape>
          <o:OLEObject Type="Embed" ProgID="Excel.Sheet.12" ShapeID="_x0000_i1045" DrawAspect="Content" ObjectID="_1587205926" r:id="rId63"/>
        </w:object>
      </w:r>
    </w:p>
    <w:p w:rsidR="003E0FA2" w:rsidRDefault="00925DC4" w:rsidP="00085ECF">
      <w:pPr>
        <w:pStyle w:val="Nadpis1"/>
        <w:numPr>
          <w:ilvl w:val="0"/>
          <w:numId w:val="37"/>
        </w:numPr>
        <w:spacing w:before="120" w:after="60"/>
        <w:ind w:left="360"/>
      </w:pPr>
      <w:r>
        <w:t>OSTATNÉ INFORMÁCIE</w:t>
      </w:r>
    </w:p>
    <w:p w:rsidR="003E0FA2" w:rsidRDefault="003E0FA2" w:rsidP="003F6621">
      <w:pPr>
        <w:pStyle w:val="Zkladntext"/>
        <w:jc w:val="right"/>
      </w:pPr>
    </w:p>
    <w:p w:rsidR="003E0FA2" w:rsidRDefault="003E0FA2" w:rsidP="003E0FA2">
      <w:pPr>
        <w:pStyle w:val="Zkladntext"/>
      </w:pPr>
      <w:r>
        <w:t>Po 31. decembri 201</w:t>
      </w:r>
      <w:r w:rsidR="003F6621">
        <w:t>7</w:t>
      </w:r>
      <w:r>
        <w:t xml:space="preserve"> </w:t>
      </w:r>
      <w:r w:rsidR="00754049">
        <w:t>nenastali žiadne významné udalosti, ktoré by mali</w:t>
      </w:r>
      <w:r>
        <w:t xml:space="preserve"> významný vplyv na verné zobrazenie skutočností, ktoré sú predmetom účtovníctva</w:t>
      </w:r>
      <w:r w:rsidR="00754049">
        <w:t xml:space="preserve"> spoločnosti za rok 201</w:t>
      </w:r>
      <w:r w:rsidR="003F6621">
        <w:t>7</w:t>
      </w:r>
      <w:r w:rsidR="00754049">
        <w:t>.</w:t>
      </w:r>
    </w:p>
    <w:p w:rsidR="00754049" w:rsidRDefault="00754049" w:rsidP="003E0FA2">
      <w:pPr>
        <w:pStyle w:val="Zkladntext"/>
      </w:pPr>
    </w:p>
    <w:p w:rsidR="00754049" w:rsidRDefault="00754049" w:rsidP="003E0FA2">
      <w:pPr>
        <w:pStyle w:val="Zkladntext"/>
      </w:pPr>
    </w:p>
    <w:p w:rsidR="003E0FA2" w:rsidRDefault="003E0FA2" w:rsidP="00085ECF">
      <w:pPr>
        <w:pStyle w:val="Nadpis1"/>
        <w:numPr>
          <w:ilvl w:val="0"/>
          <w:numId w:val="37"/>
        </w:numPr>
        <w:spacing w:before="120" w:after="60"/>
        <w:ind w:left="360"/>
      </w:pPr>
      <w:bookmarkStart w:id="60" w:name="_Toc530739907"/>
      <w:r>
        <w:t>Informácie o</w:t>
      </w:r>
      <w:r w:rsidR="00925DC4">
        <w:t xml:space="preserve"> POHYBE VlasTnĚHO </w:t>
      </w:r>
      <w:r>
        <w:t>iman</w:t>
      </w:r>
      <w:bookmarkEnd w:id="60"/>
      <w:r w:rsidR="00925DC4">
        <w:t>IA</w:t>
      </w:r>
    </w:p>
    <w:p w:rsidR="003E0FA2" w:rsidRDefault="003E0FA2" w:rsidP="003E0FA2">
      <w:pPr>
        <w:pStyle w:val="Zkladntext"/>
      </w:pPr>
    </w:p>
    <w:p w:rsidR="00193C9E" w:rsidRDefault="003E0FA2" w:rsidP="003E0FA2">
      <w:pPr>
        <w:pStyle w:val="Zkladntext"/>
      </w:pPr>
      <w:r>
        <w:t xml:space="preserve">Prehľad o pohybe vlastného imania v priebehu účtovného obdobia </w:t>
      </w:r>
      <w:r w:rsidR="00193C9E">
        <w:t xml:space="preserve">a v predchádzajúcom účtovnom období </w:t>
      </w:r>
    </w:p>
    <w:p w:rsidR="003E0FA2" w:rsidRDefault="003E0FA2" w:rsidP="003E0FA2">
      <w:pPr>
        <w:pStyle w:val="Zkladntext"/>
      </w:pPr>
      <w:r>
        <w:t>je uvedený v nasledujúcom prehľade:</w:t>
      </w:r>
    </w:p>
    <w:bookmarkStart w:id="61" w:name="_MON_1520501703"/>
    <w:bookmarkEnd w:id="61"/>
    <w:p w:rsidR="0075139D" w:rsidRDefault="007D44B0" w:rsidP="00A31D3C">
      <w:pPr>
        <w:pStyle w:val="Zkladntext"/>
        <w:ind w:left="425"/>
      </w:pPr>
      <w:r>
        <w:object w:dxaOrig="10274" w:dyaOrig="4608">
          <v:shape id="_x0000_i1046" type="#_x0000_t75" style="width:460.5pt;height:212.25pt" o:ole="">
            <v:imagedata r:id="rId64" o:title=""/>
          </v:shape>
          <o:OLEObject Type="Embed" ProgID="Excel.Sheet.12" ShapeID="_x0000_i1046" DrawAspect="Content" ObjectID="_1587205927" r:id="rId65"/>
        </w:object>
      </w:r>
      <w:bookmarkStart w:id="62" w:name="_MON_1392791812"/>
      <w:bookmarkStart w:id="63" w:name="_MON_1392790758"/>
      <w:bookmarkStart w:id="64" w:name="_MON_1393719480"/>
      <w:bookmarkStart w:id="65" w:name="_MON_1393720451"/>
      <w:bookmarkEnd w:id="62"/>
      <w:bookmarkEnd w:id="63"/>
      <w:bookmarkEnd w:id="64"/>
      <w:bookmarkEnd w:id="65"/>
      <w:r w:rsidR="00F952C0">
        <w:t xml:space="preserve"> </w:t>
      </w:r>
    </w:p>
    <w:p w:rsidR="00D96E87" w:rsidRDefault="00D96E87" w:rsidP="0075139D">
      <w:pPr>
        <w:pStyle w:val="Zkladntext"/>
      </w:pPr>
    </w:p>
    <w:p w:rsidR="003E0FA2" w:rsidRDefault="000543EB" w:rsidP="003E0FA2">
      <w:pPr>
        <w:pStyle w:val="Zkladntext"/>
      </w:pPr>
      <w:r>
        <w:t>Pohyby v jednotlivých položkách boli vykázané a realizované na základe rozhodnutia valného zhromaždenia akcionárov spoločnosti respektíve rozhodnutím predstavenstva v prípade použitia prostriedkov zo štatutárneho fondu predstavenstva spoločnosti.</w:t>
      </w:r>
    </w:p>
    <w:p w:rsidR="00CE3256" w:rsidRDefault="00CE3256" w:rsidP="003E0FA2">
      <w:pPr>
        <w:pStyle w:val="Zkladntext"/>
      </w:pPr>
    </w:p>
    <w:p w:rsidR="006A10A6" w:rsidRDefault="006A10A6" w:rsidP="00130EA0">
      <w:pPr>
        <w:pStyle w:val="Zkladntext"/>
      </w:pPr>
    </w:p>
    <w:p w:rsidR="003E0FA2" w:rsidRDefault="007C6157" w:rsidP="00130EA0">
      <w:pPr>
        <w:pStyle w:val="Zkladntext"/>
      </w:pPr>
      <w:r>
        <w:t>Zisk za rok 2016 bol vysporiadaný nasledovne</w:t>
      </w:r>
      <w:r w:rsidR="00720EB3">
        <w:t>:</w:t>
      </w:r>
    </w:p>
    <w:bookmarkStart w:id="66" w:name="_MON_1393720300"/>
    <w:bookmarkStart w:id="67" w:name="_MON_1393720360"/>
    <w:bookmarkStart w:id="68" w:name="_MON_1392793783"/>
    <w:bookmarkStart w:id="69" w:name="_MON_1393720137"/>
    <w:bookmarkEnd w:id="66"/>
    <w:bookmarkEnd w:id="67"/>
    <w:bookmarkEnd w:id="68"/>
    <w:bookmarkEnd w:id="69"/>
    <w:bookmarkStart w:id="70" w:name="_MON_1393720281"/>
    <w:bookmarkEnd w:id="70"/>
    <w:p w:rsidR="00ED1E98" w:rsidRDefault="009A1CB6" w:rsidP="003E0FA2">
      <w:pPr>
        <w:pStyle w:val="Zkladntext"/>
      </w:pPr>
      <w:r>
        <w:object w:dxaOrig="8902" w:dyaOrig="712">
          <v:shape id="_x0000_i1047" type="#_x0000_t75" style="width:435.75pt;height:35.25pt" o:ole="" o:preferrelative="f">
            <v:imagedata r:id="rId66" o:title=""/>
          </v:shape>
          <o:OLEObject Type="Embed" ProgID="Excel.Sheet.12" ShapeID="_x0000_i1047" DrawAspect="Content" ObjectID="_1587205928" r:id="rId67"/>
        </w:object>
      </w:r>
    </w:p>
    <w:bookmarkStart w:id="71" w:name="_MON_1392793756"/>
    <w:bookmarkStart w:id="72" w:name="_MON_1392794040"/>
    <w:bookmarkStart w:id="73" w:name="_MON_1393720120"/>
    <w:bookmarkStart w:id="74" w:name="_MON_1393720314"/>
    <w:bookmarkStart w:id="75" w:name="_MON_1393720354"/>
    <w:bookmarkStart w:id="76" w:name="_MON_1392793414"/>
    <w:bookmarkEnd w:id="71"/>
    <w:bookmarkEnd w:id="72"/>
    <w:bookmarkEnd w:id="73"/>
    <w:bookmarkEnd w:id="74"/>
    <w:bookmarkEnd w:id="75"/>
    <w:bookmarkEnd w:id="76"/>
    <w:bookmarkStart w:id="77" w:name="_MON_1392794386"/>
    <w:bookmarkEnd w:id="77"/>
    <w:p w:rsidR="00627B6C" w:rsidRPr="00406809" w:rsidRDefault="00EB2BD0" w:rsidP="003E0FA2">
      <w:pPr>
        <w:pStyle w:val="Zkladntext"/>
      </w:pPr>
      <w:r w:rsidRPr="001C0A6A">
        <w:object w:dxaOrig="9275" w:dyaOrig="1418">
          <v:shape id="_x0000_i1048" type="#_x0000_t75" style="width:445.5pt;height:70.5pt" o:ole="" o:preferrelative="f">
            <v:imagedata r:id="rId68" o:title=""/>
            <o:lock v:ext="edit" aspectratio="f"/>
          </v:shape>
          <o:OLEObject Type="Embed" ProgID="Excel.Sheet.12" ShapeID="_x0000_i1048" DrawAspect="Content" ObjectID="_1587205929" r:id="rId69"/>
        </w:object>
      </w:r>
    </w:p>
    <w:p w:rsidR="003E0FA2" w:rsidRPr="007C6157" w:rsidRDefault="003E0FA2" w:rsidP="008339A2">
      <w:pPr>
        <w:pStyle w:val="Zkladntext"/>
        <w:rPr>
          <w:color w:val="FF0000"/>
        </w:rPr>
      </w:pPr>
      <w:r w:rsidRPr="00406809">
        <w:lastRenderedPageBreak/>
        <w:t>O</w:t>
      </w:r>
      <w:r w:rsidR="00B7570D" w:rsidRPr="00406809">
        <w:t xml:space="preserve"> spôsobe </w:t>
      </w:r>
      <w:r w:rsidR="00406809" w:rsidRPr="00406809">
        <w:t>vysporiadania účtovného zisku</w:t>
      </w:r>
      <w:r w:rsidR="00B7570D" w:rsidRPr="00406809">
        <w:t xml:space="preserve"> za </w:t>
      </w:r>
      <w:r w:rsidRPr="00406809">
        <w:t xml:space="preserve">účtovné obdobie </w:t>
      </w:r>
      <w:r w:rsidR="00CE3256" w:rsidRPr="00406809">
        <w:t>201</w:t>
      </w:r>
      <w:r w:rsidR="00406809" w:rsidRPr="00406809">
        <w:t>6</w:t>
      </w:r>
      <w:r w:rsidRPr="00406809">
        <w:t xml:space="preserve"> rozhod</w:t>
      </w:r>
      <w:r w:rsidR="000137E4" w:rsidRPr="00406809">
        <w:t>lo</w:t>
      </w:r>
      <w:r w:rsidRPr="00406809">
        <w:t xml:space="preserve"> valné zhromaždenie</w:t>
      </w:r>
      <w:r w:rsidR="00B7570D" w:rsidRPr="00406809">
        <w:t xml:space="preserve"> akcionárov spoločnosti, ktoré sa  kona</w:t>
      </w:r>
      <w:r w:rsidR="000137E4" w:rsidRPr="00406809">
        <w:t xml:space="preserve">lo </w:t>
      </w:r>
      <w:r w:rsidR="00216D5D" w:rsidRPr="00406809">
        <w:t>2</w:t>
      </w:r>
      <w:r w:rsidR="00406809" w:rsidRPr="00406809">
        <w:t>4</w:t>
      </w:r>
      <w:r w:rsidR="00CA0574" w:rsidRPr="00406809">
        <w:t xml:space="preserve">. </w:t>
      </w:r>
      <w:r w:rsidR="00406809" w:rsidRPr="00406809">
        <w:t>mája</w:t>
      </w:r>
      <w:r w:rsidR="00D229F3" w:rsidRPr="00406809">
        <w:t xml:space="preserve"> 201</w:t>
      </w:r>
      <w:r w:rsidR="00406809" w:rsidRPr="00406809">
        <w:t>7</w:t>
      </w:r>
      <w:r w:rsidRPr="00406809">
        <w:t xml:space="preserve">. </w:t>
      </w:r>
      <w:r w:rsidR="000137E4" w:rsidRPr="00406809">
        <w:t>Na n</w:t>
      </w:r>
      <w:r w:rsidRPr="00406809">
        <w:t>ávrh štatutárneho orgánu valné zhromaždeni</w:t>
      </w:r>
      <w:r w:rsidR="000137E4" w:rsidRPr="00406809">
        <w:t>e rozhodlo, že spoločnosť</w:t>
      </w:r>
      <w:r w:rsidRPr="00406809">
        <w:t xml:space="preserve"> </w:t>
      </w:r>
      <w:r w:rsidR="00406809" w:rsidRPr="00406809">
        <w:t xml:space="preserve"> zisk rozdelila</w:t>
      </w:r>
      <w:r w:rsidR="00406809">
        <w:t xml:space="preserve"> </w:t>
      </w:r>
      <w:r w:rsidR="00406809" w:rsidRPr="00406809">
        <w:t>nasledovne</w:t>
      </w:r>
      <w:r w:rsidR="00406809">
        <w:rPr>
          <w:color w:val="FF0000"/>
        </w:rPr>
        <w:t>.</w:t>
      </w:r>
    </w:p>
    <w:p w:rsidR="009F5CF7" w:rsidRDefault="009F5CF7" w:rsidP="009F5CF7">
      <w:pPr>
        <w:rPr>
          <w:lang w:eastAsia="sk-SK"/>
        </w:rPr>
      </w:pPr>
      <w:bookmarkStart w:id="78" w:name="_Toc530739926"/>
    </w:p>
    <w:p w:rsidR="00BE742A" w:rsidRDefault="00BE742A" w:rsidP="009F5CF7">
      <w:pPr>
        <w:rPr>
          <w:lang w:eastAsia="sk-SK"/>
        </w:rPr>
      </w:pPr>
    </w:p>
    <w:p w:rsidR="00A32A86" w:rsidRDefault="00A32A86" w:rsidP="00085ECF">
      <w:pPr>
        <w:pStyle w:val="Nadpis1"/>
        <w:numPr>
          <w:ilvl w:val="0"/>
          <w:numId w:val="37"/>
        </w:numPr>
        <w:spacing w:before="120" w:after="60"/>
        <w:ind w:left="360"/>
      </w:pPr>
      <w:r>
        <w:t>Prehľad peňažných tokov k 31. decembru 201</w:t>
      </w:r>
      <w:r w:rsidR="007C6157">
        <w:t>7</w:t>
      </w:r>
    </w:p>
    <w:p w:rsidR="00193C9E" w:rsidRDefault="00193C9E" w:rsidP="00193C9E"/>
    <w:p w:rsidR="00193C9E" w:rsidRPr="00193C9E" w:rsidRDefault="00193C9E" w:rsidP="00CE3256">
      <w:pPr>
        <w:tabs>
          <w:tab w:val="right" w:pos="9212"/>
        </w:tabs>
      </w:pPr>
      <w:r>
        <w:t xml:space="preserve">Prehľad peňažných tokov je zostavený nepriamou metódou vykazovania </w:t>
      </w:r>
      <w:r w:rsidR="00142EAD">
        <w:t xml:space="preserve"> prevádzkových </w:t>
      </w:r>
      <w:r>
        <w:t>peňažných tokov</w:t>
      </w:r>
      <w:r w:rsidR="00142EAD">
        <w:t>.</w:t>
      </w:r>
      <w:r>
        <w:t xml:space="preserve"> </w:t>
      </w:r>
      <w:r w:rsidR="00CE3256">
        <w:tab/>
      </w:r>
    </w:p>
    <w:p w:rsidR="00F0114D" w:rsidRPr="00586677" w:rsidRDefault="00F0114D" w:rsidP="00A32A86">
      <w:pPr>
        <w:jc w:val="both"/>
        <w:rPr>
          <w:sz w:val="18"/>
        </w:rPr>
      </w:pPr>
    </w:p>
    <w:tbl>
      <w:tblPr>
        <w:tblW w:w="8720" w:type="dxa"/>
        <w:tblInd w:w="70" w:type="dxa"/>
        <w:tblCellMar>
          <w:left w:w="70" w:type="dxa"/>
          <w:right w:w="70" w:type="dxa"/>
        </w:tblCellMar>
        <w:tblLook w:val="04A0" w:firstRow="1" w:lastRow="0" w:firstColumn="1" w:lastColumn="0" w:noHBand="0" w:noVBand="1"/>
      </w:tblPr>
      <w:tblGrid>
        <w:gridCol w:w="5996"/>
        <w:gridCol w:w="1388"/>
        <w:gridCol w:w="1336"/>
      </w:tblGrid>
      <w:tr w:rsidR="00586677" w:rsidRPr="00586677" w:rsidTr="00F0114D">
        <w:trPr>
          <w:trHeight w:val="240"/>
        </w:trPr>
        <w:tc>
          <w:tcPr>
            <w:tcW w:w="5996" w:type="dxa"/>
            <w:tcBorders>
              <w:top w:val="nil"/>
              <w:left w:val="nil"/>
              <w:bottom w:val="nil"/>
              <w:right w:val="nil"/>
            </w:tcBorders>
            <w:shd w:val="clear" w:color="auto" w:fill="auto"/>
            <w:vAlign w:val="bottom"/>
            <w:hideMark/>
          </w:tcPr>
          <w:p w:rsidR="00F0114D" w:rsidRPr="00586677" w:rsidRDefault="00F0114D" w:rsidP="00F0114D">
            <w:pPr>
              <w:rPr>
                <w:sz w:val="18"/>
                <w:szCs w:val="18"/>
                <w:lang w:eastAsia="sk-SK"/>
              </w:rPr>
            </w:pPr>
            <w:bookmarkStart w:id="79" w:name="RANGE!B3:D27"/>
            <w:bookmarkEnd w:id="79"/>
          </w:p>
        </w:tc>
        <w:tc>
          <w:tcPr>
            <w:tcW w:w="1388" w:type="dxa"/>
            <w:tcBorders>
              <w:top w:val="nil"/>
              <w:left w:val="nil"/>
              <w:bottom w:val="nil"/>
              <w:right w:val="nil"/>
            </w:tcBorders>
            <w:shd w:val="clear" w:color="auto" w:fill="auto"/>
            <w:vAlign w:val="bottom"/>
            <w:hideMark/>
          </w:tcPr>
          <w:p w:rsidR="00F0114D" w:rsidRPr="00586677" w:rsidRDefault="00F0114D" w:rsidP="004C5886">
            <w:pPr>
              <w:jc w:val="right"/>
              <w:rPr>
                <w:b/>
                <w:bCs/>
                <w:sz w:val="18"/>
                <w:szCs w:val="18"/>
                <w:lang w:eastAsia="sk-SK"/>
              </w:rPr>
            </w:pPr>
            <w:r w:rsidRPr="00586677">
              <w:rPr>
                <w:b/>
                <w:bCs/>
                <w:sz w:val="18"/>
                <w:szCs w:val="18"/>
                <w:lang w:eastAsia="sk-SK"/>
              </w:rPr>
              <w:t>201</w:t>
            </w:r>
            <w:r w:rsidR="00586677">
              <w:rPr>
                <w:b/>
                <w:bCs/>
                <w:sz w:val="18"/>
                <w:szCs w:val="18"/>
                <w:lang w:eastAsia="sk-SK"/>
              </w:rPr>
              <w:t>7</w:t>
            </w:r>
          </w:p>
        </w:tc>
        <w:tc>
          <w:tcPr>
            <w:tcW w:w="1336" w:type="dxa"/>
            <w:tcBorders>
              <w:top w:val="nil"/>
              <w:left w:val="nil"/>
              <w:bottom w:val="nil"/>
              <w:right w:val="nil"/>
            </w:tcBorders>
            <w:shd w:val="clear" w:color="000000" w:fill="FFFFFF"/>
            <w:vAlign w:val="bottom"/>
            <w:hideMark/>
          </w:tcPr>
          <w:p w:rsidR="00F0114D" w:rsidRPr="00586677" w:rsidRDefault="00F0114D" w:rsidP="00756CEB">
            <w:pPr>
              <w:jc w:val="right"/>
              <w:rPr>
                <w:b/>
                <w:bCs/>
                <w:sz w:val="18"/>
                <w:szCs w:val="18"/>
                <w:lang w:eastAsia="sk-SK"/>
              </w:rPr>
            </w:pPr>
            <w:r w:rsidRPr="00586677">
              <w:rPr>
                <w:b/>
                <w:bCs/>
                <w:sz w:val="18"/>
                <w:szCs w:val="18"/>
                <w:lang w:eastAsia="sk-SK"/>
              </w:rPr>
              <w:t>201</w:t>
            </w:r>
            <w:r w:rsidR="00756CEB" w:rsidRPr="00586677">
              <w:rPr>
                <w:b/>
                <w:bCs/>
                <w:sz w:val="18"/>
                <w:szCs w:val="18"/>
                <w:lang w:eastAsia="sk-SK"/>
              </w:rPr>
              <w:t>6</w:t>
            </w:r>
          </w:p>
        </w:tc>
      </w:tr>
      <w:tr w:rsidR="00F0114D" w:rsidRPr="00586677" w:rsidTr="00F0114D">
        <w:trPr>
          <w:trHeight w:val="240"/>
        </w:trPr>
        <w:tc>
          <w:tcPr>
            <w:tcW w:w="5996" w:type="dxa"/>
            <w:tcBorders>
              <w:top w:val="nil"/>
              <w:left w:val="nil"/>
              <w:bottom w:val="single" w:sz="4" w:space="0" w:color="auto"/>
              <w:right w:val="nil"/>
            </w:tcBorders>
            <w:shd w:val="clear" w:color="auto" w:fill="auto"/>
            <w:vAlign w:val="bottom"/>
            <w:hideMark/>
          </w:tcPr>
          <w:p w:rsidR="00F0114D" w:rsidRPr="00586677" w:rsidRDefault="00F0114D" w:rsidP="00F0114D">
            <w:pPr>
              <w:rPr>
                <w:sz w:val="18"/>
                <w:szCs w:val="18"/>
                <w:lang w:eastAsia="sk-SK"/>
              </w:rPr>
            </w:pPr>
            <w:r w:rsidRPr="00586677">
              <w:rPr>
                <w:sz w:val="18"/>
                <w:szCs w:val="18"/>
                <w:lang w:eastAsia="sk-SK"/>
              </w:rPr>
              <w:t xml:space="preserve"> </w:t>
            </w:r>
          </w:p>
        </w:tc>
        <w:tc>
          <w:tcPr>
            <w:tcW w:w="1388" w:type="dxa"/>
            <w:tcBorders>
              <w:top w:val="nil"/>
              <w:left w:val="nil"/>
              <w:bottom w:val="single" w:sz="4" w:space="0" w:color="auto"/>
              <w:right w:val="nil"/>
            </w:tcBorders>
            <w:shd w:val="clear" w:color="auto" w:fill="auto"/>
            <w:vAlign w:val="bottom"/>
            <w:hideMark/>
          </w:tcPr>
          <w:p w:rsidR="00F0114D" w:rsidRPr="00586677" w:rsidRDefault="00F0114D" w:rsidP="00F0114D">
            <w:pPr>
              <w:jc w:val="right"/>
              <w:rPr>
                <w:sz w:val="18"/>
                <w:szCs w:val="18"/>
                <w:lang w:eastAsia="sk-SK"/>
              </w:rPr>
            </w:pPr>
            <w:r w:rsidRPr="00586677">
              <w:rPr>
                <w:sz w:val="18"/>
                <w:szCs w:val="18"/>
                <w:lang w:eastAsia="sk-SK"/>
              </w:rPr>
              <w:t>EUR</w:t>
            </w:r>
          </w:p>
        </w:tc>
        <w:tc>
          <w:tcPr>
            <w:tcW w:w="1336" w:type="dxa"/>
            <w:tcBorders>
              <w:top w:val="nil"/>
              <w:left w:val="nil"/>
              <w:bottom w:val="single" w:sz="4" w:space="0" w:color="auto"/>
              <w:right w:val="nil"/>
            </w:tcBorders>
            <w:shd w:val="clear" w:color="000000" w:fill="FFFFFF"/>
            <w:vAlign w:val="bottom"/>
            <w:hideMark/>
          </w:tcPr>
          <w:p w:rsidR="00F0114D" w:rsidRPr="00586677" w:rsidRDefault="00F0114D" w:rsidP="00F0114D">
            <w:pPr>
              <w:jc w:val="right"/>
              <w:rPr>
                <w:sz w:val="18"/>
                <w:szCs w:val="18"/>
                <w:lang w:eastAsia="sk-SK"/>
              </w:rPr>
            </w:pPr>
            <w:r w:rsidRPr="00586677">
              <w:rPr>
                <w:sz w:val="18"/>
                <w:szCs w:val="18"/>
                <w:lang w:eastAsia="sk-SK"/>
              </w:rPr>
              <w:t>EUR</w:t>
            </w:r>
          </w:p>
        </w:tc>
      </w:tr>
      <w:tr w:rsidR="00F0114D" w:rsidRPr="00F0114D" w:rsidTr="00F0114D">
        <w:trPr>
          <w:trHeight w:val="240"/>
        </w:trPr>
        <w:tc>
          <w:tcPr>
            <w:tcW w:w="5996" w:type="dxa"/>
            <w:tcBorders>
              <w:top w:val="nil"/>
              <w:left w:val="nil"/>
              <w:bottom w:val="nil"/>
              <w:right w:val="nil"/>
            </w:tcBorders>
            <w:shd w:val="clear" w:color="auto" w:fill="auto"/>
            <w:vAlign w:val="bottom"/>
            <w:hideMark/>
          </w:tcPr>
          <w:p w:rsidR="00F0114D" w:rsidRPr="00F0114D" w:rsidRDefault="00F0114D" w:rsidP="00F0114D">
            <w:pPr>
              <w:rPr>
                <w:sz w:val="18"/>
                <w:szCs w:val="18"/>
                <w:lang w:eastAsia="sk-SK"/>
              </w:rPr>
            </w:pPr>
          </w:p>
        </w:tc>
        <w:tc>
          <w:tcPr>
            <w:tcW w:w="1388" w:type="dxa"/>
            <w:tcBorders>
              <w:top w:val="nil"/>
              <w:left w:val="nil"/>
              <w:bottom w:val="nil"/>
              <w:right w:val="nil"/>
            </w:tcBorders>
            <w:shd w:val="clear" w:color="auto" w:fill="auto"/>
            <w:vAlign w:val="bottom"/>
            <w:hideMark/>
          </w:tcPr>
          <w:p w:rsidR="00F0114D" w:rsidRPr="00586677" w:rsidRDefault="00F0114D" w:rsidP="00F0114D">
            <w:pPr>
              <w:jc w:val="right"/>
              <w:rPr>
                <w:color w:val="FF0000"/>
                <w:sz w:val="18"/>
                <w:szCs w:val="18"/>
                <w:lang w:eastAsia="sk-SK"/>
              </w:rPr>
            </w:pPr>
          </w:p>
        </w:tc>
        <w:tc>
          <w:tcPr>
            <w:tcW w:w="1336" w:type="dxa"/>
            <w:tcBorders>
              <w:top w:val="nil"/>
              <w:left w:val="nil"/>
              <w:bottom w:val="nil"/>
              <w:right w:val="nil"/>
            </w:tcBorders>
            <w:shd w:val="clear" w:color="000000" w:fill="FFFFFF"/>
            <w:vAlign w:val="bottom"/>
            <w:hideMark/>
          </w:tcPr>
          <w:p w:rsidR="00F0114D" w:rsidRPr="00F0114D" w:rsidRDefault="00F0114D" w:rsidP="00F0114D">
            <w:pPr>
              <w:jc w:val="right"/>
              <w:rPr>
                <w:sz w:val="18"/>
                <w:szCs w:val="18"/>
                <w:lang w:eastAsia="sk-SK"/>
              </w:rPr>
            </w:pPr>
            <w:r w:rsidRPr="00F0114D">
              <w:rPr>
                <w:sz w:val="18"/>
                <w:szCs w:val="18"/>
                <w:lang w:eastAsia="sk-SK"/>
              </w:rPr>
              <w:t> </w:t>
            </w:r>
          </w:p>
        </w:tc>
      </w:tr>
      <w:tr w:rsidR="00F0114D" w:rsidRPr="00F0114D" w:rsidTr="00F0114D">
        <w:trPr>
          <w:trHeight w:val="240"/>
        </w:trPr>
        <w:tc>
          <w:tcPr>
            <w:tcW w:w="5996" w:type="dxa"/>
            <w:tcBorders>
              <w:top w:val="nil"/>
              <w:left w:val="nil"/>
              <w:bottom w:val="nil"/>
              <w:right w:val="nil"/>
            </w:tcBorders>
            <w:shd w:val="clear" w:color="auto" w:fill="auto"/>
            <w:vAlign w:val="bottom"/>
            <w:hideMark/>
          </w:tcPr>
          <w:p w:rsidR="00F0114D" w:rsidRPr="00F0114D" w:rsidRDefault="00F0114D" w:rsidP="00BE742A">
            <w:pPr>
              <w:rPr>
                <w:b/>
                <w:bCs/>
                <w:sz w:val="18"/>
                <w:szCs w:val="18"/>
                <w:lang w:eastAsia="sk-SK"/>
              </w:rPr>
            </w:pPr>
            <w:r w:rsidRPr="00F0114D">
              <w:rPr>
                <w:b/>
                <w:bCs/>
                <w:sz w:val="18"/>
                <w:szCs w:val="18"/>
                <w:lang w:eastAsia="sk-SK"/>
              </w:rPr>
              <w:t>Čistý zisk</w:t>
            </w:r>
            <w:r w:rsidR="00BE742A">
              <w:rPr>
                <w:b/>
                <w:bCs/>
                <w:sz w:val="18"/>
                <w:szCs w:val="18"/>
                <w:lang w:eastAsia="sk-SK"/>
              </w:rPr>
              <w:t xml:space="preserve"> (strata) pre zdanením</w:t>
            </w:r>
          </w:p>
        </w:tc>
        <w:tc>
          <w:tcPr>
            <w:tcW w:w="1388" w:type="dxa"/>
            <w:tcBorders>
              <w:top w:val="nil"/>
              <w:left w:val="nil"/>
              <w:bottom w:val="nil"/>
              <w:right w:val="nil"/>
            </w:tcBorders>
            <w:shd w:val="clear" w:color="auto" w:fill="auto"/>
            <w:vAlign w:val="bottom"/>
            <w:hideMark/>
          </w:tcPr>
          <w:p w:rsidR="00F0114D" w:rsidRPr="006D4A0A" w:rsidRDefault="006D4A0A" w:rsidP="004C5886">
            <w:pPr>
              <w:jc w:val="right"/>
              <w:rPr>
                <w:b/>
                <w:bCs/>
                <w:color w:val="000000" w:themeColor="text1"/>
                <w:sz w:val="18"/>
                <w:szCs w:val="18"/>
                <w:lang w:eastAsia="sk-SK"/>
              </w:rPr>
            </w:pPr>
            <w:r w:rsidRPr="006D4A0A">
              <w:rPr>
                <w:b/>
                <w:bCs/>
                <w:color w:val="000000" w:themeColor="text1"/>
                <w:sz w:val="18"/>
                <w:szCs w:val="18"/>
                <w:lang w:eastAsia="sk-SK"/>
              </w:rPr>
              <w:t>-39 898</w:t>
            </w:r>
          </w:p>
        </w:tc>
        <w:tc>
          <w:tcPr>
            <w:tcW w:w="1336" w:type="dxa"/>
            <w:tcBorders>
              <w:top w:val="nil"/>
              <w:left w:val="nil"/>
              <w:bottom w:val="nil"/>
              <w:right w:val="nil"/>
            </w:tcBorders>
            <w:shd w:val="clear" w:color="000000" w:fill="FFFFFF"/>
            <w:vAlign w:val="bottom"/>
            <w:hideMark/>
          </w:tcPr>
          <w:p w:rsidR="00F0114D" w:rsidRPr="00F0114D" w:rsidRDefault="00756CEB" w:rsidP="00D229F3">
            <w:pPr>
              <w:jc w:val="right"/>
              <w:rPr>
                <w:b/>
                <w:bCs/>
                <w:sz w:val="18"/>
                <w:szCs w:val="18"/>
                <w:lang w:eastAsia="sk-SK"/>
              </w:rPr>
            </w:pPr>
            <w:r>
              <w:rPr>
                <w:b/>
                <w:bCs/>
                <w:sz w:val="18"/>
                <w:szCs w:val="18"/>
                <w:lang w:eastAsia="sk-SK"/>
              </w:rPr>
              <w:t>4273</w:t>
            </w:r>
          </w:p>
        </w:tc>
      </w:tr>
      <w:tr w:rsidR="00F0114D" w:rsidRPr="00BE742A" w:rsidTr="00F0114D">
        <w:trPr>
          <w:trHeight w:val="240"/>
        </w:trPr>
        <w:tc>
          <w:tcPr>
            <w:tcW w:w="5996" w:type="dxa"/>
            <w:tcBorders>
              <w:top w:val="nil"/>
              <w:left w:val="nil"/>
              <w:bottom w:val="nil"/>
              <w:right w:val="nil"/>
            </w:tcBorders>
            <w:shd w:val="clear" w:color="auto" w:fill="auto"/>
            <w:vAlign w:val="bottom"/>
            <w:hideMark/>
          </w:tcPr>
          <w:p w:rsidR="00F0114D" w:rsidRPr="00BE742A" w:rsidRDefault="00F0114D" w:rsidP="00F0114D">
            <w:pPr>
              <w:rPr>
                <w:i/>
                <w:sz w:val="18"/>
                <w:szCs w:val="18"/>
                <w:lang w:eastAsia="sk-SK"/>
              </w:rPr>
            </w:pPr>
            <w:r w:rsidRPr="00BE742A">
              <w:rPr>
                <w:i/>
                <w:sz w:val="18"/>
                <w:szCs w:val="18"/>
                <w:lang w:eastAsia="sk-SK"/>
              </w:rPr>
              <w:t>Úpravy o nepeňažné operácie:</w:t>
            </w:r>
          </w:p>
        </w:tc>
        <w:tc>
          <w:tcPr>
            <w:tcW w:w="1388" w:type="dxa"/>
            <w:tcBorders>
              <w:top w:val="nil"/>
              <w:left w:val="nil"/>
              <w:bottom w:val="nil"/>
              <w:right w:val="nil"/>
            </w:tcBorders>
            <w:shd w:val="clear" w:color="auto" w:fill="auto"/>
            <w:vAlign w:val="bottom"/>
            <w:hideMark/>
          </w:tcPr>
          <w:p w:rsidR="00F0114D" w:rsidRPr="006D4A0A" w:rsidRDefault="00F0114D" w:rsidP="00F0114D">
            <w:pPr>
              <w:jc w:val="right"/>
              <w:rPr>
                <w:i/>
                <w:color w:val="000000" w:themeColor="text1"/>
                <w:sz w:val="18"/>
                <w:szCs w:val="18"/>
                <w:lang w:eastAsia="sk-SK"/>
              </w:rPr>
            </w:pPr>
          </w:p>
        </w:tc>
        <w:tc>
          <w:tcPr>
            <w:tcW w:w="1336" w:type="dxa"/>
            <w:tcBorders>
              <w:top w:val="nil"/>
              <w:left w:val="nil"/>
              <w:bottom w:val="nil"/>
              <w:right w:val="nil"/>
            </w:tcBorders>
            <w:shd w:val="clear" w:color="000000" w:fill="FFFFFF"/>
            <w:vAlign w:val="bottom"/>
            <w:hideMark/>
          </w:tcPr>
          <w:p w:rsidR="00F0114D" w:rsidRPr="00BE742A" w:rsidRDefault="00F0114D" w:rsidP="00F0114D">
            <w:pPr>
              <w:jc w:val="right"/>
              <w:rPr>
                <w:i/>
                <w:sz w:val="18"/>
                <w:szCs w:val="18"/>
                <w:lang w:eastAsia="sk-SK"/>
              </w:rPr>
            </w:pPr>
            <w:r w:rsidRPr="00BE742A">
              <w:rPr>
                <w:i/>
                <w:sz w:val="18"/>
                <w:szCs w:val="18"/>
                <w:lang w:eastAsia="sk-SK"/>
              </w:rPr>
              <w:t> </w:t>
            </w:r>
          </w:p>
        </w:tc>
      </w:tr>
      <w:tr w:rsidR="00F0114D" w:rsidRPr="00F0114D" w:rsidTr="00F0114D">
        <w:trPr>
          <w:trHeight w:val="240"/>
        </w:trPr>
        <w:tc>
          <w:tcPr>
            <w:tcW w:w="5996" w:type="dxa"/>
            <w:tcBorders>
              <w:top w:val="nil"/>
              <w:left w:val="nil"/>
              <w:bottom w:val="nil"/>
              <w:right w:val="nil"/>
            </w:tcBorders>
            <w:shd w:val="clear" w:color="auto" w:fill="auto"/>
            <w:vAlign w:val="bottom"/>
            <w:hideMark/>
          </w:tcPr>
          <w:p w:rsidR="00F0114D" w:rsidRPr="00F0114D" w:rsidRDefault="00F0114D" w:rsidP="00F0114D">
            <w:pPr>
              <w:rPr>
                <w:sz w:val="18"/>
                <w:szCs w:val="18"/>
                <w:lang w:eastAsia="sk-SK"/>
              </w:rPr>
            </w:pPr>
            <w:r w:rsidRPr="00F0114D">
              <w:rPr>
                <w:sz w:val="18"/>
                <w:szCs w:val="18"/>
                <w:lang w:eastAsia="sk-SK"/>
              </w:rPr>
              <w:t>Odpisy dlhodobého majetku</w:t>
            </w:r>
          </w:p>
        </w:tc>
        <w:tc>
          <w:tcPr>
            <w:tcW w:w="1388" w:type="dxa"/>
            <w:tcBorders>
              <w:top w:val="nil"/>
              <w:left w:val="nil"/>
              <w:bottom w:val="nil"/>
              <w:right w:val="nil"/>
            </w:tcBorders>
            <w:shd w:val="clear" w:color="auto" w:fill="auto"/>
            <w:vAlign w:val="bottom"/>
            <w:hideMark/>
          </w:tcPr>
          <w:p w:rsidR="00F0114D" w:rsidRPr="006D4A0A" w:rsidRDefault="006D4A0A" w:rsidP="00F0114D">
            <w:pPr>
              <w:jc w:val="right"/>
              <w:rPr>
                <w:color w:val="000000" w:themeColor="text1"/>
                <w:sz w:val="18"/>
                <w:szCs w:val="18"/>
                <w:lang w:eastAsia="sk-SK"/>
              </w:rPr>
            </w:pPr>
            <w:r w:rsidRPr="006D4A0A">
              <w:rPr>
                <w:color w:val="000000" w:themeColor="text1"/>
                <w:sz w:val="18"/>
                <w:szCs w:val="18"/>
                <w:lang w:eastAsia="sk-SK"/>
              </w:rPr>
              <w:t>171 507</w:t>
            </w:r>
          </w:p>
        </w:tc>
        <w:tc>
          <w:tcPr>
            <w:tcW w:w="1336" w:type="dxa"/>
            <w:tcBorders>
              <w:top w:val="nil"/>
              <w:left w:val="nil"/>
              <w:bottom w:val="nil"/>
              <w:right w:val="nil"/>
            </w:tcBorders>
            <w:shd w:val="clear" w:color="000000" w:fill="FFFFFF"/>
            <w:vAlign w:val="bottom"/>
            <w:hideMark/>
          </w:tcPr>
          <w:p w:rsidR="00F0114D" w:rsidRPr="00F0114D" w:rsidRDefault="00756CEB" w:rsidP="00F0114D">
            <w:pPr>
              <w:jc w:val="right"/>
              <w:rPr>
                <w:sz w:val="18"/>
                <w:szCs w:val="18"/>
                <w:lang w:eastAsia="sk-SK"/>
              </w:rPr>
            </w:pPr>
            <w:r>
              <w:rPr>
                <w:sz w:val="18"/>
                <w:szCs w:val="18"/>
                <w:lang w:eastAsia="sk-SK"/>
              </w:rPr>
              <w:t>161 527</w:t>
            </w:r>
          </w:p>
        </w:tc>
      </w:tr>
      <w:tr w:rsidR="00F0114D" w:rsidRPr="00F0114D" w:rsidTr="00F0114D">
        <w:trPr>
          <w:trHeight w:val="240"/>
        </w:trPr>
        <w:tc>
          <w:tcPr>
            <w:tcW w:w="5996" w:type="dxa"/>
            <w:tcBorders>
              <w:top w:val="nil"/>
              <w:left w:val="nil"/>
              <w:bottom w:val="nil"/>
              <w:right w:val="nil"/>
            </w:tcBorders>
            <w:shd w:val="clear" w:color="auto" w:fill="auto"/>
            <w:vAlign w:val="bottom"/>
            <w:hideMark/>
          </w:tcPr>
          <w:p w:rsidR="00F0114D" w:rsidRPr="00F0114D" w:rsidRDefault="00F0114D" w:rsidP="00F0114D">
            <w:pPr>
              <w:rPr>
                <w:sz w:val="18"/>
                <w:szCs w:val="18"/>
                <w:lang w:eastAsia="sk-SK"/>
              </w:rPr>
            </w:pPr>
            <w:r w:rsidRPr="00F0114D">
              <w:rPr>
                <w:sz w:val="18"/>
                <w:szCs w:val="18"/>
                <w:lang w:eastAsia="sk-SK"/>
              </w:rPr>
              <w:t>Zmena stavu opravnej položky k dlhodobému majetku</w:t>
            </w:r>
          </w:p>
        </w:tc>
        <w:tc>
          <w:tcPr>
            <w:tcW w:w="1388" w:type="dxa"/>
            <w:tcBorders>
              <w:top w:val="nil"/>
              <w:left w:val="nil"/>
              <w:bottom w:val="nil"/>
              <w:right w:val="nil"/>
            </w:tcBorders>
            <w:shd w:val="clear" w:color="auto" w:fill="auto"/>
            <w:vAlign w:val="bottom"/>
            <w:hideMark/>
          </w:tcPr>
          <w:p w:rsidR="00F0114D" w:rsidRPr="006D4A0A" w:rsidRDefault="00D229F3" w:rsidP="00F0114D">
            <w:pPr>
              <w:jc w:val="right"/>
              <w:rPr>
                <w:color w:val="000000" w:themeColor="text1"/>
                <w:sz w:val="18"/>
                <w:szCs w:val="18"/>
                <w:lang w:eastAsia="sk-SK"/>
              </w:rPr>
            </w:pPr>
            <w:r w:rsidRPr="006D4A0A">
              <w:rPr>
                <w:color w:val="000000" w:themeColor="text1"/>
                <w:sz w:val="18"/>
                <w:szCs w:val="18"/>
                <w:lang w:eastAsia="sk-SK"/>
              </w:rPr>
              <w:t>0</w:t>
            </w:r>
          </w:p>
        </w:tc>
        <w:tc>
          <w:tcPr>
            <w:tcW w:w="1336" w:type="dxa"/>
            <w:tcBorders>
              <w:top w:val="nil"/>
              <w:left w:val="nil"/>
              <w:bottom w:val="nil"/>
              <w:right w:val="nil"/>
            </w:tcBorders>
            <w:shd w:val="clear" w:color="000000" w:fill="FFFFFF"/>
            <w:vAlign w:val="bottom"/>
            <w:hideMark/>
          </w:tcPr>
          <w:p w:rsidR="00F0114D" w:rsidRPr="00F0114D" w:rsidRDefault="004C5886" w:rsidP="00F0114D">
            <w:pPr>
              <w:jc w:val="right"/>
              <w:rPr>
                <w:sz w:val="18"/>
                <w:szCs w:val="18"/>
                <w:lang w:eastAsia="sk-SK"/>
              </w:rPr>
            </w:pPr>
            <w:r>
              <w:rPr>
                <w:sz w:val="18"/>
                <w:szCs w:val="18"/>
                <w:lang w:eastAsia="sk-SK"/>
              </w:rPr>
              <w:t>0</w:t>
            </w:r>
          </w:p>
        </w:tc>
      </w:tr>
      <w:tr w:rsidR="00F0114D" w:rsidRPr="00F0114D" w:rsidTr="00F0114D">
        <w:trPr>
          <w:trHeight w:val="240"/>
        </w:trPr>
        <w:tc>
          <w:tcPr>
            <w:tcW w:w="5996" w:type="dxa"/>
            <w:tcBorders>
              <w:top w:val="nil"/>
              <w:left w:val="nil"/>
              <w:bottom w:val="nil"/>
              <w:right w:val="nil"/>
            </w:tcBorders>
            <w:shd w:val="clear" w:color="auto" w:fill="auto"/>
            <w:vAlign w:val="bottom"/>
            <w:hideMark/>
          </w:tcPr>
          <w:p w:rsidR="00F0114D" w:rsidRPr="00F0114D" w:rsidRDefault="00F0114D" w:rsidP="00F0114D">
            <w:pPr>
              <w:rPr>
                <w:sz w:val="18"/>
                <w:szCs w:val="18"/>
                <w:lang w:eastAsia="sk-SK"/>
              </w:rPr>
            </w:pPr>
            <w:r w:rsidRPr="00F0114D">
              <w:rPr>
                <w:sz w:val="18"/>
                <w:szCs w:val="18"/>
                <w:lang w:eastAsia="sk-SK"/>
              </w:rPr>
              <w:t>Zmena stavu opravnej položky k pohľadávkam</w:t>
            </w:r>
          </w:p>
        </w:tc>
        <w:tc>
          <w:tcPr>
            <w:tcW w:w="1388" w:type="dxa"/>
            <w:tcBorders>
              <w:top w:val="nil"/>
              <w:left w:val="nil"/>
              <w:bottom w:val="nil"/>
              <w:right w:val="nil"/>
            </w:tcBorders>
            <w:shd w:val="clear" w:color="auto" w:fill="auto"/>
            <w:vAlign w:val="bottom"/>
            <w:hideMark/>
          </w:tcPr>
          <w:p w:rsidR="00F0114D" w:rsidRPr="006D4A0A" w:rsidRDefault="00A012A4" w:rsidP="00F0114D">
            <w:pPr>
              <w:jc w:val="right"/>
              <w:rPr>
                <w:color w:val="000000" w:themeColor="text1"/>
                <w:sz w:val="18"/>
                <w:szCs w:val="18"/>
                <w:lang w:eastAsia="sk-SK"/>
              </w:rPr>
            </w:pPr>
            <w:r w:rsidRPr="006D4A0A">
              <w:rPr>
                <w:color w:val="000000" w:themeColor="text1"/>
                <w:sz w:val="18"/>
                <w:szCs w:val="18"/>
                <w:lang w:eastAsia="sk-SK"/>
              </w:rPr>
              <w:t>0</w:t>
            </w:r>
          </w:p>
        </w:tc>
        <w:tc>
          <w:tcPr>
            <w:tcW w:w="1336" w:type="dxa"/>
            <w:tcBorders>
              <w:top w:val="nil"/>
              <w:left w:val="nil"/>
              <w:bottom w:val="nil"/>
              <w:right w:val="nil"/>
            </w:tcBorders>
            <w:shd w:val="clear" w:color="000000" w:fill="FFFFFF"/>
            <w:vAlign w:val="bottom"/>
            <w:hideMark/>
          </w:tcPr>
          <w:p w:rsidR="00F0114D" w:rsidRPr="00F0114D" w:rsidRDefault="00756CEB" w:rsidP="00F0114D">
            <w:pPr>
              <w:jc w:val="right"/>
              <w:rPr>
                <w:sz w:val="18"/>
                <w:szCs w:val="18"/>
                <w:lang w:eastAsia="sk-SK"/>
              </w:rPr>
            </w:pPr>
            <w:r>
              <w:rPr>
                <w:sz w:val="18"/>
                <w:szCs w:val="18"/>
                <w:lang w:eastAsia="sk-SK"/>
              </w:rPr>
              <w:t>0</w:t>
            </w:r>
            <w:r w:rsidR="00F0114D" w:rsidRPr="00F0114D">
              <w:rPr>
                <w:sz w:val="18"/>
                <w:szCs w:val="18"/>
                <w:lang w:eastAsia="sk-SK"/>
              </w:rPr>
              <w:t> </w:t>
            </w:r>
          </w:p>
        </w:tc>
      </w:tr>
      <w:tr w:rsidR="00F0114D" w:rsidRPr="00F0114D" w:rsidTr="00F0114D">
        <w:trPr>
          <w:trHeight w:val="240"/>
        </w:trPr>
        <w:tc>
          <w:tcPr>
            <w:tcW w:w="5996" w:type="dxa"/>
            <w:tcBorders>
              <w:top w:val="nil"/>
              <w:left w:val="nil"/>
              <w:bottom w:val="nil"/>
              <w:right w:val="nil"/>
            </w:tcBorders>
            <w:shd w:val="clear" w:color="auto" w:fill="auto"/>
            <w:vAlign w:val="bottom"/>
            <w:hideMark/>
          </w:tcPr>
          <w:p w:rsidR="00F0114D" w:rsidRPr="00F0114D" w:rsidRDefault="00F0114D" w:rsidP="00274AE2">
            <w:pPr>
              <w:rPr>
                <w:sz w:val="18"/>
                <w:szCs w:val="18"/>
                <w:lang w:eastAsia="sk-SK"/>
              </w:rPr>
            </w:pPr>
            <w:r w:rsidRPr="00F0114D">
              <w:rPr>
                <w:sz w:val="18"/>
                <w:szCs w:val="18"/>
                <w:lang w:eastAsia="sk-SK"/>
              </w:rPr>
              <w:t xml:space="preserve">Zmena stavu nákladov a výnosov </w:t>
            </w:r>
            <w:r w:rsidR="00274AE2">
              <w:rPr>
                <w:sz w:val="18"/>
                <w:szCs w:val="18"/>
                <w:lang w:eastAsia="sk-SK"/>
              </w:rPr>
              <w:t>časového rozlíšenia</w:t>
            </w:r>
          </w:p>
        </w:tc>
        <w:tc>
          <w:tcPr>
            <w:tcW w:w="1388" w:type="dxa"/>
            <w:tcBorders>
              <w:top w:val="nil"/>
              <w:left w:val="nil"/>
              <w:bottom w:val="nil"/>
              <w:right w:val="nil"/>
            </w:tcBorders>
            <w:shd w:val="clear" w:color="auto" w:fill="auto"/>
            <w:vAlign w:val="bottom"/>
            <w:hideMark/>
          </w:tcPr>
          <w:p w:rsidR="00F0114D" w:rsidRPr="006D4A0A" w:rsidRDefault="006D4A0A" w:rsidP="00D229F3">
            <w:pPr>
              <w:jc w:val="right"/>
              <w:rPr>
                <w:color w:val="000000" w:themeColor="text1"/>
                <w:sz w:val="18"/>
                <w:szCs w:val="18"/>
                <w:lang w:eastAsia="sk-SK"/>
              </w:rPr>
            </w:pPr>
            <w:r w:rsidRPr="006D4A0A">
              <w:rPr>
                <w:color w:val="000000" w:themeColor="text1"/>
                <w:sz w:val="18"/>
                <w:szCs w:val="18"/>
                <w:lang w:eastAsia="sk-SK"/>
              </w:rPr>
              <w:t>7</w:t>
            </w:r>
            <w:r>
              <w:rPr>
                <w:color w:val="000000" w:themeColor="text1"/>
                <w:sz w:val="18"/>
                <w:szCs w:val="18"/>
                <w:lang w:eastAsia="sk-SK"/>
              </w:rPr>
              <w:t xml:space="preserve"> </w:t>
            </w:r>
            <w:r w:rsidRPr="006D4A0A">
              <w:rPr>
                <w:color w:val="000000" w:themeColor="text1"/>
                <w:sz w:val="18"/>
                <w:szCs w:val="18"/>
                <w:lang w:eastAsia="sk-SK"/>
              </w:rPr>
              <w:t>623</w:t>
            </w:r>
          </w:p>
        </w:tc>
        <w:tc>
          <w:tcPr>
            <w:tcW w:w="1336" w:type="dxa"/>
            <w:tcBorders>
              <w:top w:val="nil"/>
              <w:left w:val="nil"/>
              <w:bottom w:val="nil"/>
              <w:right w:val="nil"/>
            </w:tcBorders>
            <w:shd w:val="clear" w:color="000000" w:fill="FFFFFF"/>
            <w:vAlign w:val="bottom"/>
            <w:hideMark/>
          </w:tcPr>
          <w:p w:rsidR="00F0114D" w:rsidRPr="00F0114D" w:rsidRDefault="00756CEB" w:rsidP="00F0114D">
            <w:pPr>
              <w:jc w:val="right"/>
              <w:rPr>
                <w:sz w:val="18"/>
                <w:szCs w:val="18"/>
                <w:lang w:eastAsia="sk-SK"/>
              </w:rPr>
            </w:pPr>
            <w:r>
              <w:rPr>
                <w:sz w:val="18"/>
                <w:szCs w:val="18"/>
                <w:lang w:eastAsia="sk-SK"/>
              </w:rPr>
              <w:t>-5 243</w:t>
            </w:r>
          </w:p>
        </w:tc>
      </w:tr>
      <w:tr w:rsidR="00F0114D" w:rsidRPr="00F0114D" w:rsidTr="00F0114D">
        <w:trPr>
          <w:trHeight w:val="240"/>
        </w:trPr>
        <w:tc>
          <w:tcPr>
            <w:tcW w:w="5996" w:type="dxa"/>
            <w:tcBorders>
              <w:top w:val="nil"/>
              <w:left w:val="nil"/>
              <w:bottom w:val="nil"/>
              <w:right w:val="nil"/>
            </w:tcBorders>
            <w:shd w:val="clear" w:color="auto" w:fill="auto"/>
            <w:vAlign w:val="bottom"/>
            <w:hideMark/>
          </w:tcPr>
          <w:p w:rsidR="00F0114D" w:rsidRPr="00F0114D" w:rsidRDefault="00F0114D" w:rsidP="00F0114D">
            <w:pPr>
              <w:rPr>
                <w:sz w:val="18"/>
                <w:szCs w:val="18"/>
                <w:lang w:eastAsia="sk-SK"/>
              </w:rPr>
            </w:pPr>
            <w:r w:rsidRPr="00F0114D">
              <w:rPr>
                <w:sz w:val="18"/>
                <w:szCs w:val="18"/>
                <w:lang w:eastAsia="sk-SK"/>
              </w:rPr>
              <w:t>Zmena stavu rezerv</w:t>
            </w:r>
          </w:p>
        </w:tc>
        <w:tc>
          <w:tcPr>
            <w:tcW w:w="1388" w:type="dxa"/>
            <w:tcBorders>
              <w:top w:val="nil"/>
              <w:left w:val="nil"/>
              <w:bottom w:val="nil"/>
              <w:right w:val="nil"/>
            </w:tcBorders>
            <w:shd w:val="clear" w:color="auto" w:fill="auto"/>
            <w:vAlign w:val="bottom"/>
            <w:hideMark/>
          </w:tcPr>
          <w:p w:rsidR="00F0114D" w:rsidRPr="006D4A0A" w:rsidRDefault="00274AE2" w:rsidP="00274AE2">
            <w:pPr>
              <w:jc w:val="right"/>
              <w:rPr>
                <w:color w:val="000000" w:themeColor="text1"/>
                <w:sz w:val="18"/>
                <w:szCs w:val="18"/>
                <w:lang w:eastAsia="sk-SK"/>
              </w:rPr>
            </w:pPr>
            <w:r w:rsidRPr="006D4A0A">
              <w:rPr>
                <w:color w:val="000000" w:themeColor="text1"/>
                <w:sz w:val="18"/>
                <w:szCs w:val="18"/>
                <w:lang w:eastAsia="sk-SK"/>
              </w:rPr>
              <w:t>0</w:t>
            </w:r>
          </w:p>
        </w:tc>
        <w:tc>
          <w:tcPr>
            <w:tcW w:w="1336" w:type="dxa"/>
            <w:tcBorders>
              <w:top w:val="nil"/>
              <w:left w:val="nil"/>
              <w:bottom w:val="nil"/>
              <w:right w:val="nil"/>
            </w:tcBorders>
            <w:shd w:val="clear" w:color="000000" w:fill="FFFFFF"/>
            <w:vAlign w:val="bottom"/>
            <w:hideMark/>
          </w:tcPr>
          <w:p w:rsidR="00F0114D" w:rsidRPr="00F0114D" w:rsidRDefault="00756CEB" w:rsidP="00F0114D">
            <w:pPr>
              <w:jc w:val="right"/>
              <w:rPr>
                <w:sz w:val="18"/>
                <w:szCs w:val="18"/>
                <w:lang w:eastAsia="sk-SK"/>
              </w:rPr>
            </w:pPr>
            <w:r>
              <w:rPr>
                <w:sz w:val="18"/>
                <w:szCs w:val="18"/>
                <w:lang w:eastAsia="sk-SK"/>
              </w:rPr>
              <w:t>0</w:t>
            </w:r>
          </w:p>
        </w:tc>
      </w:tr>
      <w:tr w:rsidR="00F0114D" w:rsidRPr="00F0114D" w:rsidTr="00F0114D">
        <w:trPr>
          <w:trHeight w:val="240"/>
        </w:trPr>
        <w:tc>
          <w:tcPr>
            <w:tcW w:w="5996" w:type="dxa"/>
            <w:tcBorders>
              <w:top w:val="nil"/>
              <w:left w:val="nil"/>
              <w:bottom w:val="nil"/>
              <w:right w:val="nil"/>
            </w:tcBorders>
            <w:shd w:val="clear" w:color="auto" w:fill="auto"/>
            <w:vAlign w:val="bottom"/>
            <w:hideMark/>
          </w:tcPr>
          <w:p w:rsidR="00F0114D" w:rsidRPr="00F0114D" w:rsidRDefault="00274AE2" w:rsidP="00274AE2">
            <w:pPr>
              <w:rPr>
                <w:sz w:val="18"/>
                <w:szCs w:val="18"/>
                <w:lang w:eastAsia="sk-SK"/>
              </w:rPr>
            </w:pPr>
            <w:r>
              <w:rPr>
                <w:sz w:val="18"/>
                <w:szCs w:val="18"/>
                <w:lang w:eastAsia="sk-SK"/>
              </w:rPr>
              <w:t>Úroky účtované do nákladov</w:t>
            </w:r>
          </w:p>
        </w:tc>
        <w:tc>
          <w:tcPr>
            <w:tcW w:w="1388" w:type="dxa"/>
            <w:tcBorders>
              <w:top w:val="nil"/>
              <w:left w:val="nil"/>
              <w:bottom w:val="nil"/>
              <w:right w:val="nil"/>
            </w:tcBorders>
            <w:shd w:val="clear" w:color="auto" w:fill="auto"/>
            <w:vAlign w:val="bottom"/>
            <w:hideMark/>
          </w:tcPr>
          <w:p w:rsidR="00F0114D" w:rsidRPr="006D4A0A" w:rsidRDefault="006D4A0A" w:rsidP="00F0114D">
            <w:pPr>
              <w:jc w:val="right"/>
              <w:rPr>
                <w:color w:val="000000" w:themeColor="text1"/>
                <w:sz w:val="18"/>
                <w:szCs w:val="18"/>
                <w:lang w:eastAsia="sk-SK"/>
              </w:rPr>
            </w:pPr>
            <w:r w:rsidRPr="006D4A0A">
              <w:rPr>
                <w:color w:val="000000" w:themeColor="text1"/>
                <w:sz w:val="18"/>
                <w:szCs w:val="18"/>
                <w:lang w:eastAsia="sk-SK"/>
              </w:rPr>
              <w:t>1</w:t>
            </w:r>
            <w:r>
              <w:rPr>
                <w:color w:val="000000" w:themeColor="text1"/>
                <w:sz w:val="18"/>
                <w:szCs w:val="18"/>
                <w:lang w:eastAsia="sk-SK"/>
              </w:rPr>
              <w:t xml:space="preserve"> </w:t>
            </w:r>
            <w:r w:rsidRPr="006D4A0A">
              <w:rPr>
                <w:color w:val="000000" w:themeColor="text1"/>
                <w:sz w:val="18"/>
                <w:szCs w:val="18"/>
                <w:lang w:eastAsia="sk-SK"/>
              </w:rPr>
              <w:t>854</w:t>
            </w:r>
          </w:p>
        </w:tc>
        <w:tc>
          <w:tcPr>
            <w:tcW w:w="1336" w:type="dxa"/>
            <w:tcBorders>
              <w:top w:val="nil"/>
              <w:left w:val="nil"/>
              <w:bottom w:val="nil"/>
              <w:right w:val="nil"/>
            </w:tcBorders>
            <w:shd w:val="clear" w:color="000000" w:fill="FFFFFF"/>
            <w:vAlign w:val="bottom"/>
            <w:hideMark/>
          </w:tcPr>
          <w:p w:rsidR="00F0114D" w:rsidRPr="00F0114D" w:rsidRDefault="00756CEB" w:rsidP="004C5886">
            <w:pPr>
              <w:jc w:val="right"/>
              <w:rPr>
                <w:sz w:val="18"/>
                <w:szCs w:val="18"/>
                <w:lang w:eastAsia="sk-SK"/>
              </w:rPr>
            </w:pPr>
            <w:r>
              <w:rPr>
                <w:sz w:val="18"/>
                <w:szCs w:val="18"/>
                <w:lang w:eastAsia="sk-SK"/>
              </w:rPr>
              <w:t>575</w:t>
            </w:r>
          </w:p>
        </w:tc>
      </w:tr>
      <w:tr w:rsidR="00274AE2" w:rsidRPr="00F0114D" w:rsidTr="00F0114D">
        <w:trPr>
          <w:trHeight w:val="240"/>
        </w:trPr>
        <w:tc>
          <w:tcPr>
            <w:tcW w:w="5996" w:type="dxa"/>
            <w:tcBorders>
              <w:top w:val="nil"/>
              <w:left w:val="nil"/>
              <w:bottom w:val="nil"/>
              <w:right w:val="nil"/>
            </w:tcBorders>
            <w:shd w:val="clear" w:color="auto" w:fill="auto"/>
            <w:vAlign w:val="bottom"/>
          </w:tcPr>
          <w:p w:rsidR="00274AE2" w:rsidRPr="00F0114D" w:rsidRDefault="00274AE2" w:rsidP="00F0114D">
            <w:pPr>
              <w:rPr>
                <w:sz w:val="18"/>
                <w:szCs w:val="18"/>
                <w:lang w:eastAsia="sk-SK"/>
              </w:rPr>
            </w:pPr>
            <w:r>
              <w:rPr>
                <w:sz w:val="18"/>
                <w:szCs w:val="18"/>
                <w:lang w:eastAsia="sk-SK"/>
              </w:rPr>
              <w:t>Úroky účtované do výnosov</w:t>
            </w:r>
          </w:p>
        </w:tc>
        <w:tc>
          <w:tcPr>
            <w:tcW w:w="1388" w:type="dxa"/>
            <w:tcBorders>
              <w:top w:val="nil"/>
              <w:left w:val="nil"/>
              <w:bottom w:val="nil"/>
              <w:right w:val="nil"/>
            </w:tcBorders>
            <w:shd w:val="clear" w:color="auto" w:fill="auto"/>
            <w:vAlign w:val="bottom"/>
          </w:tcPr>
          <w:p w:rsidR="00274AE2" w:rsidRPr="006D4A0A" w:rsidRDefault="006D4A0A" w:rsidP="00F0114D">
            <w:pPr>
              <w:jc w:val="right"/>
              <w:rPr>
                <w:color w:val="000000" w:themeColor="text1"/>
                <w:sz w:val="18"/>
                <w:szCs w:val="18"/>
                <w:lang w:eastAsia="sk-SK"/>
              </w:rPr>
            </w:pPr>
            <w:r w:rsidRPr="006D4A0A">
              <w:rPr>
                <w:color w:val="000000" w:themeColor="text1"/>
                <w:sz w:val="18"/>
                <w:szCs w:val="18"/>
                <w:lang w:eastAsia="sk-SK"/>
              </w:rPr>
              <w:t>-16</w:t>
            </w:r>
          </w:p>
        </w:tc>
        <w:tc>
          <w:tcPr>
            <w:tcW w:w="1336" w:type="dxa"/>
            <w:tcBorders>
              <w:top w:val="nil"/>
              <w:left w:val="nil"/>
              <w:bottom w:val="nil"/>
              <w:right w:val="nil"/>
            </w:tcBorders>
            <w:shd w:val="clear" w:color="000000" w:fill="FFFFFF"/>
            <w:vAlign w:val="bottom"/>
          </w:tcPr>
          <w:p w:rsidR="00274AE2" w:rsidRDefault="00756CEB" w:rsidP="00756CEB">
            <w:pPr>
              <w:jc w:val="right"/>
              <w:rPr>
                <w:sz w:val="18"/>
                <w:szCs w:val="18"/>
                <w:lang w:eastAsia="sk-SK"/>
              </w:rPr>
            </w:pPr>
            <w:r>
              <w:rPr>
                <w:sz w:val="18"/>
                <w:szCs w:val="18"/>
                <w:lang w:eastAsia="sk-SK"/>
              </w:rPr>
              <w:t>-32</w:t>
            </w:r>
          </w:p>
        </w:tc>
      </w:tr>
      <w:tr w:rsidR="00274AE2" w:rsidRPr="00F0114D" w:rsidTr="00F0114D">
        <w:trPr>
          <w:trHeight w:val="240"/>
        </w:trPr>
        <w:tc>
          <w:tcPr>
            <w:tcW w:w="5996" w:type="dxa"/>
            <w:tcBorders>
              <w:top w:val="nil"/>
              <w:left w:val="nil"/>
              <w:bottom w:val="nil"/>
              <w:right w:val="nil"/>
            </w:tcBorders>
            <w:shd w:val="clear" w:color="auto" w:fill="auto"/>
            <w:vAlign w:val="bottom"/>
          </w:tcPr>
          <w:p w:rsidR="00274AE2" w:rsidRDefault="00274AE2" w:rsidP="00F0114D">
            <w:pPr>
              <w:rPr>
                <w:sz w:val="18"/>
                <w:szCs w:val="18"/>
                <w:lang w:eastAsia="sk-SK"/>
              </w:rPr>
            </w:pPr>
            <w:r>
              <w:rPr>
                <w:sz w:val="18"/>
                <w:szCs w:val="18"/>
                <w:lang w:eastAsia="sk-SK"/>
              </w:rPr>
              <w:t>Kurzová strata</w:t>
            </w:r>
          </w:p>
        </w:tc>
        <w:tc>
          <w:tcPr>
            <w:tcW w:w="1388" w:type="dxa"/>
            <w:tcBorders>
              <w:top w:val="nil"/>
              <w:left w:val="nil"/>
              <w:bottom w:val="nil"/>
              <w:right w:val="nil"/>
            </w:tcBorders>
            <w:shd w:val="clear" w:color="auto" w:fill="auto"/>
            <w:vAlign w:val="bottom"/>
          </w:tcPr>
          <w:p w:rsidR="00274AE2" w:rsidRPr="006D4A0A" w:rsidRDefault="006D4A0A" w:rsidP="00F0114D">
            <w:pPr>
              <w:jc w:val="right"/>
              <w:rPr>
                <w:color w:val="000000" w:themeColor="text1"/>
                <w:sz w:val="18"/>
                <w:szCs w:val="18"/>
                <w:lang w:eastAsia="sk-SK"/>
              </w:rPr>
            </w:pPr>
            <w:r>
              <w:rPr>
                <w:color w:val="000000" w:themeColor="text1"/>
                <w:sz w:val="18"/>
                <w:szCs w:val="18"/>
                <w:lang w:eastAsia="sk-SK"/>
              </w:rPr>
              <w:t>0</w:t>
            </w:r>
          </w:p>
        </w:tc>
        <w:tc>
          <w:tcPr>
            <w:tcW w:w="1336" w:type="dxa"/>
            <w:tcBorders>
              <w:top w:val="nil"/>
              <w:left w:val="nil"/>
              <w:bottom w:val="nil"/>
              <w:right w:val="nil"/>
            </w:tcBorders>
            <w:shd w:val="clear" w:color="000000" w:fill="FFFFFF"/>
            <w:vAlign w:val="bottom"/>
          </w:tcPr>
          <w:p w:rsidR="00274AE2" w:rsidRDefault="00274AE2" w:rsidP="004C5886">
            <w:pPr>
              <w:jc w:val="right"/>
              <w:rPr>
                <w:sz w:val="18"/>
                <w:szCs w:val="18"/>
                <w:lang w:eastAsia="sk-SK"/>
              </w:rPr>
            </w:pPr>
            <w:r>
              <w:rPr>
                <w:sz w:val="18"/>
                <w:szCs w:val="18"/>
                <w:lang w:eastAsia="sk-SK"/>
              </w:rPr>
              <w:t>0</w:t>
            </w:r>
          </w:p>
        </w:tc>
      </w:tr>
      <w:tr w:rsidR="00F0114D" w:rsidRPr="00F0114D" w:rsidTr="00F0114D">
        <w:trPr>
          <w:trHeight w:val="240"/>
        </w:trPr>
        <w:tc>
          <w:tcPr>
            <w:tcW w:w="5996" w:type="dxa"/>
            <w:tcBorders>
              <w:top w:val="nil"/>
              <w:left w:val="nil"/>
              <w:bottom w:val="nil"/>
              <w:right w:val="nil"/>
            </w:tcBorders>
            <w:shd w:val="clear" w:color="auto" w:fill="auto"/>
            <w:vAlign w:val="bottom"/>
            <w:hideMark/>
          </w:tcPr>
          <w:p w:rsidR="00F0114D" w:rsidRPr="00F0114D" w:rsidRDefault="00F0114D" w:rsidP="00F0114D">
            <w:pPr>
              <w:rPr>
                <w:sz w:val="18"/>
                <w:szCs w:val="18"/>
                <w:lang w:eastAsia="sk-SK"/>
              </w:rPr>
            </w:pPr>
            <w:r w:rsidRPr="00F0114D">
              <w:rPr>
                <w:sz w:val="18"/>
                <w:szCs w:val="18"/>
                <w:lang w:eastAsia="sk-SK"/>
              </w:rPr>
              <w:t>Strata / (zisk) z predaja dlhodobého majetku</w:t>
            </w:r>
          </w:p>
        </w:tc>
        <w:tc>
          <w:tcPr>
            <w:tcW w:w="1388" w:type="dxa"/>
            <w:tcBorders>
              <w:top w:val="nil"/>
              <w:left w:val="nil"/>
              <w:bottom w:val="nil"/>
              <w:right w:val="nil"/>
            </w:tcBorders>
            <w:shd w:val="clear" w:color="auto" w:fill="auto"/>
            <w:vAlign w:val="bottom"/>
            <w:hideMark/>
          </w:tcPr>
          <w:p w:rsidR="00F0114D" w:rsidRPr="006D4A0A" w:rsidRDefault="00F0114D" w:rsidP="00F0114D">
            <w:pPr>
              <w:jc w:val="right"/>
              <w:rPr>
                <w:color w:val="000000" w:themeColor="text1"/>
                <w:sz w:val="18"/>
                <w:szCs w:val="18"/>
                <w:lang w:eastAsia="sk-SK"/>
              </w:rPr>
            </w:pPr>
            <w:r w:rsidRPr="006D4A0A">
              <w:rPr>
                <w:color w:val="000000" w:themeColor="text1"/>
                <w:sz w:val="18"/>
                <w:szCs w:val="18"/>
                <w:lang w:eastAsia="sk-SK"/>
              </w:rPr>
              <w:t>0</w:t>
            </w:r>
          </w:p>
        </w:tc>
        <w:tc>
          <w:tcPr>
            <w:tcW w:w="1336" w:type="dxa"/>
            <w:tcBorders>
              <w:top w:val="nil"/>
              <w:left w:val="nil"/>
              <w:bottom w:val="nil"/>
              <w:right w:val="nil"/>
            </w:tcBorders>
            <w:shd w:val="clear" w:color="000000" w:fill="FFFFFF"/>
            <w:vAlign w:val="bottom"/>
            <w:hideMark/>
          </w:tcPr>
          <w:p w:rsidR="00F0114D" w:rsidRPr="00F0114D" w:rsidRDefault="00D229F3" w:rsidP="00F0114D">
            <w:pPr>
              <w:jc w:val="right"/>
              <w:rPr>
                <w:sz w:val="18"/>
                <w:szCs w:val="18"/>
                <w:lang w:eastAsia="sk-SK"/>
              </w:rPr>
            </w:pPr>
            <w:r>
              <w:rPr>
                <w:sz w:val="18"/>
                <w:szCs w:val="18"/>
                <w:lang w:eastAsia="sk-SK"/>
              </w:rPr>
              <w:t>0</w:t>
            </w:r>
          </w:p>
        </w:tc>
      </w:tr>
      <w:tr w:rsidR="00274AE2" w:rsidRPr="00F0114D" w:rsidTr="00F0114D">
        <w:trPr>
          <w:trHeight w:val="240"/>
        </w:trPr>
        <w:tc>
          <w:tcPr>
            <w:tcW w:w="5996" w:type="dxa"/>
            <w:tcBorders>
              <w:top w:val="nil"/>
              <w:left w:val="nil"/>
              <w:bottom w:val="nil"/>
              <w:right w:val="nil"/>
            </w:tcBorders>
            <w:shd w:val="clear" w:color="auto" w:fill="auto"/>
            <w:vAlign w:val="bottom"/>
          </w:tcPr>
          <w:p w:rsidR="00274AE2" w:rsidRPr="00F0114D" w:rsidRDefault="00274AE2" w:rsidP="00F0114D">
            <w:pPr>
              <w:rPr>
                <w:sz w:val="18"/>
                <w:szCs w:val="18"/>
                <w:lang w:eastAsia="sk-SK"/>
              </w:rPr>
            </w:pPr>
            <w:r>
              <w:rPr>
                <w:sz w:val="18"/>
                <w:szCs w:val="18"/>
                <w:lang w:eastAsia="sk-SK"/>
              </w:rPr>
              <w:t xml:space="preserve">Ostatné položky nepeňažného charakteru, ktoré </w:t>
            </w:r>
            <w:proofErr w:type="spellStart"/>
            <w:r>
              <w:rPr>
                <w:sz w:val="18"/>
                <w:szCs w:val="18"/>
                <w:lang w:eastAsia="sk-SK"/>
              </w:rPr>
              <w:t>ovpl.hos.výsledok</w:t>
            </w:r>
            <w:proofErr w:type="spellEnd"/>
          </w:p>
        </w:tc>
        <w:tc>
          <w:tcPr>
            <w:tcW w:w="1388" w:type="dxa"/>
            <w:tcBorders>
              <w:top w:val="nil"/>
              <w:left w:val="nil"/>
              <w:bottom w:val="nil"/>
              <w:right w:val="nil"/>
            </w:tcBorders>
            <w:shd w:val="clear" w:color="auto" w:fill="auto"/>
            <w:vAlign w:val="bottom"/>
          </w:tcPr>
          <w:p w:rsidR="00274AE2" w:rsidRPr="006D4A0A" w:rsidRDefault="00274AE2" w:rsidP="006D4A0A">
            <w:pPr>
              <w:jc w:val="right"/>
              <w:rPr>
                <w:color w:val="000000" w:themeColor="text1"/>
                <w:sz w:val="18"/>
                <w:szCs w:val="18"/>
                <w:lang w:eastAsia="sk-SK"/>
              </w:rPr>
            </w:pPr>
            <w:r w:rsidRPr="006D4A0A">
              <w:rPr>
                <w:color w:val="000000" w:themeColor="text1"/>
                <w:sz w:val="18"/>
                <w:szCs w:val="18"/>
                <w:lang w:eastAsia="sk-SK"/>
              </w:rPr>
              <w:t>-</w:t>
            </w:r>
            <w:r w:rsidR="006D4A0A" w:rsidRPr="006D4A0A">
              <w:rPr>
                <w:color w:val="000000" w:themeColor="text1"/>
                <w:sz w:val="18"/>
                <w:szCs w:val="18"/>
                <w:lang w:eastAsia="sk-SK"/>
              </w:rPr>
              <w:t>29 160</w:t>
            </w:r>
          </w:p>
        </w:tc>
        <w:tc>
          <w:tcPr>
            <w:tcW w:w="1336" w:type="dxa"/>
            <w:tcBorders>
              <w:top w:val="nil"/>
              <w:left w:val="nil"/>
              <w:bottom w:val="nil"/>
              <w:right w:val="nil"/>
            </w:tcBorders>
            <w:shd w:val="clear" w:color="000000" w:fill="FFFFFF"/>
            <w:vAlign w:val="bottom"/>
          </w:tcPr>
          <w:p w:rsidR="00274AE2" w:rsidRDefault="00756CEB" w:rsidP="00756CEB">
            <w:pPr>
              <w:jc w:val="right"/>
              <w:rPr>
                <w:sz w:val="18"/>
                <w:szCs w:val="18"/>
                <w:lang w:eastAsia="sk-SK"/>
              </w:rPr>
            </w:pPr>
            <w:r>
              <w:rPr>
                <w:sz w:val="18"/>
                <w:szCs w:val="18"/>
                <w:lang w:eastAsia="sk-SK"/>
              </w:rPr>
              <w:t>-3 686</w:t>
            </w:r>
          </w:p>
        </w:tc>
      </w:tr>
      <w:tr w:rsidR="00F0114D" w:rsidRPr="00F0114D" w:rsidTr="00F0114D">
        <w:trPr>
          <w:trHeight w:val="240"/>
        </w:trPr>
        <w:tc>
          <w:tcPr>
            <w:tcW w:w="5996" w:type="dxa"/>
            <w:tcBorders>
              <w:top w:val="nil"/>
              <w:left w:val="nil"/>
              <w:bottom w:val="nil"/>
              <w:right w:val="nil"/>
            </w:tcBorders>
            <w:shd w:val="clear" w:color="auto" w:fill="auto"/>
            <w:vAlign w:val="bottom"/>
            <w:hideMark/>
          </w:tcPr>
          <w:p w:rsidR="00F0114D" w:rsidRPr="00F0114D" w:rsidRDefault="00F0114D" w:rsidP="00F0114D">
            <w:pPr>
              <w:rPr>
                <w:b/>
                <w:bCs/>
                <w:sz w:val="18"/>
                <w:szCs w:val="18"/>
                <w:lang w:eastAsia="sk-SK"/>
              </w:rPr>
            </w:pPr>
            <w:r w:rsidRPr="00F0114D">
              <w:rPr>
                <w:b/>
                <w:bCs/>
                <w:sz w:val="18"/>
                <w:szCs w:val="18"/>
                <w:lang w:eastAsia="sk-SK"/>
              </w:rPr>
              <w:t>Zisk z prevádzky pred zmenou pracovného kapitálu</w:t>
            </w:r>
          </w:p>
        </w:tc>
        <w:tc>
          <w:tcPr>
            <w:tcW w:w="1388" w:type="dxa"/>
            <w:tcBorders>
              <w:top w:val="single" w:sz="4" w:space="0" w:color="auto"/>
              <w:left w:val="nil"/>
              <w:bottom w:val="double" w:sz="6" w:space="0" w:color="auto"/>
              <w:right w:val="nil"/>
            </w:tcBorders>
            <w:shd w:val="clear" w:color="auto" w:fill="auto"/>
            <w:vAlign w:val="bottom"/>
            <w:hideMark/>
          </w:tcPr>
          <w:p w:rsidR="00F0114D" w:rsidRPr="006D4A0A" w:rsidRDefault="006D4A0A" w:rsidP="00F0114D">
            <w:pPr>
              <w:jc w:val="right"/>
              <w:rPr>
                <w:b/>
                <w:bCs/>
                <w:color w:val="000000" w:themeColor="text1"/>
                <w:sz w:val="18"/>
                <w:szCs w:val="18"/>
                <w:lang w:eastAsia="sk-SK"/>
              </w:rPr>
            </w:pPr>
            <w:r w:rsidRPr="006D4A0A">
              <w:rPr>
                <w:b/>
                <w:bCs/>
                <w:color w:val="000000" w:themeColor="text1"/>
                <w:sz w:val="18"/>
                <w:szCs w:val="18"/>
                <w:lang w:eastAsia="sk-SK"/>
              </w:rPr>
              <w:t>151 808</w:t>
            </w:r>
          </w:p>
        </w:tc>
        <w:tc>
          <w:tcPr>
            <w:tcW w:w="1336" w:type="dxa"/>
            <w:tcBorders>
              <w:top w:val="single" w:sz="4" w:space="0" w:color="auto"/>
              <w:left w:val="nil"/>
              <w:bottom w:val="double" w:sz="6" w:space="0" w:color="auto"/>
              <w:right w:val="nil"/>
            </w:tcBorders>
            <w:shd w:val="clear" w:color="000000" w:fill="FFFFFF"/>
            <w:vAlign w:val="bottom"/>
            <w:hideMark/>
          </w:tcPr>
          <w:p w:rsidR="00F0114D" w:rsidRPr="00F0114D" w:rsidRDefault="00756CEB" w:rsidP="00F0114D">
            <w:pPr>
              <w:jc w:val="right"/>
              <w:rPr>
                <w:b/>
                <w:bCs/>
                <w:color w:val="000000"/>
                <w:sz w:val="18"/>
                <w:szCs w:val="18"/>
                <w:lang w:eastAsia="sk-SK"/>
              </w:rPr>
            </w:pPr>
            <w:r>
              <w:rPr>
                <w:b/>
                <w:bCs/>
                <w:color w:val="000000"/>
                <w:sz w:val="18"/>
                <w:szCs w:val="18"/>
                <w:lang w:eastAsia="sk-SK"/>
              </w:rPr>
              <w:t>153 148</w:t>
            </w:r>
          </w:p>
        </w:tc>
      </w:tr>
      <w:tr w:rsidR="00F0114D" w:rsidRPr="00F0114D" w:rsidTr="00F0114D">
        <w:trPr>
          <w:trHeight w:val="255"/>
        </w:trPr>
        <w:tc>
          <w:tcPr>
            <w:tcW w:w="5996" w:type="dxa"/>
            <w:tcBorders>
              <w:top w:val="nil"/>
              <w:left w:val="nil"/>
              <w:bottom w:val="nil"/>
              <w:right w:val="nil"/>
            </w:tcBorders>
            <w:shd w:val="clear" w:color="auto" w:fill="auto"/>
            <w:vAlign w:val="bottom"/>
            <w:hideMark/>
          </w:tcPr>
          <w:p w:rsidR="00F0114D" w:rsidRPr="00F0114D" w:rsidRDefault="00F0114D" w:rsidP="00F0114D">
            <w:pPr>
              <w:rPr>
                <w:sz w:val="18"/>
                <w:szCs w:val="18"/>
                <w:lang w:eastAsia="sk-SK"/>
              </w:rPr>
            </w:pPr>
          </w:p>
        </w:tc>
        <w:tc>
          <w:tcPr>
            <w:tcW w:w="1388" w:type="dxa"/>
            <w:tcBorders>
              <w:top w:val="nil"/>
              <w:left w:val="nil"/>
              <w:bottom w:val="nil"/>
              <w:right w:val="nil"/>
            </w:tcBorders>
            <w:shd w:val="clear" w:color="auto" w:fill="auto"/>
            <w:vAlign w:val="bottom"/>
            <w:hideMark/>
          </w:tcPr>
          <w:p w:rsidR="00F0114D" w:rsidRPr="006D4A0A" w:rsidRDefault="00F0114D" w:rsidP="00F0114D">
            <w:pPr>
              <w:jc w:val="right"/>
              <w:rPr>
                <w:color w:val="000000" w:themeColor="text1"/>
                <w:sz w:val="18"/>
                <w:szCs w:val="18"/>
                <w:lang w:eastAsia="sk-SK"/>
              </w:rPr>
            </w:pPr>
          </w:p>
        </w:tc>
        <w:tc>
          <w:tcPr>
            <w:tcW w:w="1336" w:type="dxa"/>
            <w:tcBorders>
              <w:top w:val="nil"/>
              <w:left w:val="nil"/>
              <w:bottom w:val="nil"/>
              <w:right w:val="nil"/>
            </w:tcBorders>
            <w:shd w:val="clear" w:color="000000" w:fill="FFFFFF"/>
            <w:vAlign w:val="bottom"/>
            <w:hideMark/>
          </w:tcPr>
          <w:p w:rsidR="00F0114D" w:rsidRPr="00F0114D" w:rsidRDefault="00F0114D" w:rsidP="00F0114D">
            <w:pPr>
              <w:jc w:val="right"/>
              <w:rPr>
                <w:color w:val="000000"/>
                <w:sz w:val="18"/>
                <w:szCs w:val="18"/>
                <w:lang w:eastAsia="sk-SK"/>
              </w:rPr>
            </w:pPr>
            <w:r w:rsidRPr="00F0114D">
              <w:rPr>
                <w:color w:val="000000"/>
                <w:sz w:val="18"/>
                <w:szCs w:val="18"/>
                <w:lang w:eastAsia="sk-SK"/>
              </w:rPr>
              <w:t> </w:t>
            </w:r>
          </w:p>
        </w:tc>
      </w:tr>
      <w:tr w:rsidR="00F0114D" w:rsidRPr="00BE742A" w:rsidTr="00F0114D">
        <w:trPr>
          <w:trHeight w:val="240"/>
        </w:trPr>
        <w:tc>
          <w:tcPr>
            <w:tcW w:w="5996" w:type="dxa"/>
            <w:tcBorders>
              <w:top w:val="nil"/>
              <w:left w:val="nil"/>
              <w:bottom w:val="nil"/>
              <w:right w:val="nil"/>
            </w:tcBorders>
            <w:shd w:val="clear" w:color="auto" w:fill="auto"/>
            <w:vAlign w:val="bottom"/>
            <w:hideMark/>
          </w:tcPr>
          <w:p w:rsidR="00F0114D" w:rsidRPr="00BE742A" w:rsidRDefault="00F0114D" w:rsidP="00F0114D">
            <w:pPr>
              <w:rPr>
                <w:i/>
                <w:sz w:val="18"/>
                <w:szCs w:val="18"/>
                <w:lang w:eastAsia="sk-SK"/>
              </w:rPr>
            </w:pPr>
            <w:r w:rsidRPr="00BE742A">
              <w:rPr>
                <w:i/>
                <w:sz w:val="18"/>
                <w:szCs w:val="18"/>
                <w:lang w:eastAsia="sk-SK"/>
              </w:rPr>
              <w:t>Zmena pracovného kapitálu:</w:t>
            </w:r>
          </w:p>
        </w:tc>
        <w:tc>
          <w:tcPr>
            <w:tcW w:w="1388" w:type="dxa"/>
            <w:tcBorders>
              <w:top w:val="nil"/>
              <w:left w:val="nil"/>
              <w:bottom w:val="nil"/>
              <w:right w:val="nil"/>
            </w:tcBorders>
            <w:shd w:val="clear" w:color="auto" w:fill="auto"/>
            <w:vAlign w:val="bottom"/>
            <w:hideMark/>
          </w:tcPr>
          <w:p w:rsidR="00F0114D" w:rsidRPr="006D4A0A" w:rsidRDefault="00F0114D" w:rsidP="00F0114D">
            <w:pPr>
              <w:jc w:val="right"/>
              <w:rPr>
                <w:i/>
                <w:color w:val="000000" w:themeColor="text1"/>
                <w:sz w:val="18"/>
                <w:szCs w:val="18"/>
                <w:lang w:eastAsia="sk-SK"/>
              </w:rPr>
            </w:pPr>
          </w:p>
        </w:tc>
        <w:tc>
          <w:tcPr>
            <w:tcW w:w="1336" w:type="dxa"/>
            <w:tcBorders>
              <w:top w:val="nil"/>
              <w:left w:val="nil"/>
              <w:bottom w:val="nil"/>
              <w:right w:val="nil"/>
            </w:tcBorders>
            <w:shd w:val="clear" w:color="000000" w:fill="FFFFFF"/>
            <w:noWrap/>
            <w:vAlign w:val="bottom"/>
            <w:hideMark/>
          </w:tcPr>
          <w:p w:rsidR="00F0114D" w:rsidRPr="00BE742A" w:rsidRDefault="00F0114D" w:rsidP="00F0114D">
            <w:pPr>
              <w:jc w:val="right"/>
              <w:rPr>
                <w:i/>
                <w:sz w:val="18"/>
                <w:szCs w:val="18"/>
                <w:lang w:eastAsia="sk-SK"/>
              </w:rPr>
            </w:pPr>
            <w:r w:rsidRPr="00BE742A">
              <w:rPr>
                <w:i/>
                <w:sz w:val="18"/>
                <w:szCs w:val="18"/>
                <w:lang w:eastAsia="sk-SK"/>
              </w:rPr>
              <w:t> </w:t>
            </w:r>
          </w:p>
        </w:tc>
      </w:tr>
      <w:tr w:rsidR="00F0114D" w:rsidRPr="00F0114D" w:rsidTr="00F0114D">
        <w:trPr>
          <w:trHeight w:val="240"/>
        </w:trPr>
        <w:tc>
          <w:tcPr>
            <w:tcW w:w="5996" w:type="dxa"/>
            <w:tcBorders>
              <w:top w:val="nil"/>
              <w:left w:val="nil"/>
              <w:bottom w:val="nil"/>
              <w:right w:val="nil"/>
            </w:tcBorders>
            <w:shd w:val="clear" w:color="auto" w:fill="auto"/>
            <w:vAlign w:val="bottom"/>
            <w:hideMark/>
          </w:tcPr>
          <w:p w:rsidR="00F0114D" w:rsidRPr="00F0114D" w:rsidRDefault="00274AE2" w:rsidP="00F0114D">
            <w:pPr>
              <w:rPr>
                <w:sz w:val="18"/>
                <w:szCs w:val="18"/>
                <w:lang w:eastAsia="sk-SK"/>
              </w:rPr>
            </w:pPr>
            <w:r>
              <w:rPr>
                <w:sz w:val="18"/>
                <w:szCs w:val="18"/>
                <w:lang w:eastAsia="sk-SK"/>
              </w:rPr>
              <w:t>Zmena stavu pohľadávok z prevádzkovej činnosti</w:t>
            </w:r>
          </w:p>
        </w:tc>
        <w:tc>
          <w:tcPr>
            <w:tcW w:w="1388" w:type="dxa"/>
            <w:tcBorders>
              <w:top w:val="nil"/>
              <w:left w:val="nil"/>
              <w:bottom w:val="nil"/>
              <w:right w:val="nil"/>
            </w:tcBorders>
            <w:shd w:val="clear" w:color="auto" w:fill="auto"/>
            <w:vAlign w:val="bottom"/>
            <w:hideMark/>
          </w:tcPr>
          <w:p w:rsidR="00F0114D" w:rsidRPr="006D4A0A" w:rsidRDefault="00274AE2" w:rsidP="006D4A0A">
            <w:pPr>
              <w:jc w:val="right"/>
              <w:rPr>
                <w:color w:val="000000" w:themeColor="text1"/>
                <w:sz w:val="18"/>
                <w:szCs w:val="18"/>
                <w:lang w:eastAsia="sk-SK"/>
              </w:rPr>
            </w:pPr>
            <w:r w:rsidRPr="006D4A0A">
              <w:rPr>
                <w:color w:val="000000" w:themeColor="text1"/>
                <w:sz w:val="18"/>
                <w:szCs w:val="18"/>
                <w:lang w:eastAsia="sk-SK"/>
              </w:rPr>
              <w:t>-</w:t>
            </w:r>
            <w:r w:rsidR="006D4A0A" w:rsidRPr="006D4A0A">
              <w:rPr>
                <w:color w:val="000000" w:themeColor="text1"/>
                <w:sz w:val="18"/>
                <w:szCs w:val="18"/>
                <w:lang w:eastAsia="sk-SK"/>
              </w:rPr>
              <w:t>31 443</w:t>
            </w:r>
          </w:p>
        </w:tc>
        <w:tc>
          <w:tcPr>
            <w:tcW w:w="1336" w:type="dxa"/>
            <w:tcBorders>
              <w:top w:val="nil"/>
              <w:left w:val="nil"/>
              <w:bottom w:val="nil"/>
              <w:right w:val="nil"/>
            </w:tcBorders>
            <w:shd w:val="clear" w:color="000000" w:fill="FFFFFF"/>
            <w:vAlign w:val="bottom"/>
            <w:hideMark/>
          </w:tcPr>
          <w:p w:rsidR="00F0114D" w:rsidRPr="00F0114D" w:rsidRDefault="00756CEB" w:rsidP="00F0114D">
            <w:pPr>
              <w:jc w:val="right"/>
              <w:rPr>
                <w:sz w:val="18"/>
                <w:szCs w:val="18"/>
                <w:lang w:eastAsia="sk-SK"/>
              </w:rPr>
            </w:pPr>
            <w:r>
              <w:rPr>
                <w:sz w:val="18"/>
                <w:szCs w:val="18"/>
                <w:lang w:eastAsia="sk-SK"/>
              </w:rPr>
              <w:t>-113 582</w:t>
            </w:r>
          </w:p>
        </w:tc>
      </w:tr>
      <w:tr w:rsidR="00F0114D" w:rsidRPr="00F0114D" w:rsidTr="00F0114D">
        <w:trPr>
          <w:trHeight w:val="240"/>
        </w:trPr>
        <w:tc>
          <w:tcPr>
            <w:tcW w:w="5996" w:type="dxa"/>
            <w:tcBorders>
              <w:top w:val="nil"/>
              <w:left w:val="nil"/>
              <w:bottom w:val="nil"/>
              <w:right w:val="nil"/>
            </w:tcBorders>
            <w:shd w:val="clear" w:color="auto" w:fill="auto"/>
            <w:vAlign w:val="bottom"/>
            <w:hideMark/>
          </w:tcPr>
          <w:p w:rsidR="00F0114D" w:rsidRPr="00F0114D" w:rsidRDefault="00274AE2" w:rsidP="00F0114D">
            <w:pPr>
              <w:rPr>
                <w:sz w:val="18"/>
                <w:szCs w:val="18"/>
                <w:lang w:eastAsia="sk-SK"/>
              </w:rPr>
            </w:pPr>
            <w:r>
              <w:rPr>
                <w:sz w:val="18"/>
                <w:szCs w:val="18"/>
                <w:lang w:eastAsia="sk-SK"/>
              </w:rPr>
              <w:t>Zmena stavu záväzkov z prevádzkovej činnosti</w:t>
            </w:r>
          </w:p>
        </w:tc>
        <w:tc>
          <w:tcPr>
            <w:tcW w:w="1388" w:type="dxa"/>
            <w:tcBorders>
              <w:top w:val="nil"/>
              <w:left w:val="nil"/>
              <w:bottom w:val="nil"/>
              <w:right w:val="nil"/>
            </w:tcBorders>
            <w:shd w:val="clear" w:color="auto" w:fill="auto"/>
            <w:vAlign w:val="bottom"/>
            <w:hideMark/>
          </w:tcPr>
          <w:p w:rsidR="00F0114D" w:rsidRPr="006D4A0A" w:rsidRDefault="006D4A0A" w:rsidP="00F0114D">
            <w:pPr>
              <w:jc w:val="right"/>
              <w:rPr>
                <w:color w:val="000000" w:themeColor="text1"/>
                <w:sz w:val="18"/>
                <w:szCs w:val="18"/>
                <w:lang w:eastAsia="sk-SK"/>
              </w:rPr>
            </w:pPr>
            <w:r w:rsidRPr="006D4A0A">
              <w:rPr>
                <w:color w:val="000000" w:themeColor="text1"/>
                <w:sz w:val="18"/>
                <w:szCs w:val="18"/>
                <w:lang w:eastAsia="sk-SK"/>
              </w:rPr>
              <w:t>35 293</w:t>
            </w:r>
          </w:p>
        </w:tc>
        <w:tc>
          <w:tcPr>
            <w:tcW w:w="1336" w:type="dxa"/>
            <w:tcBorders>
              <w:top w:val="nil"/>
              <w:left w:val="nil"/>
              <w:bottom w:val="nil"/>
              <w:right w:val="nil"/>
            </w:tcBorders>
            <w:shd w:val="clear" w:color="000000" w:fill="FFFFFF"/>
            <w:vAlign w:val="bottom"/>
            <w:hideMark/>
          </w:tcPr>
          <w:p w:rsidR="00F0114D" w:rsidRPr="00F0114D" w:rsidRDefault="00756CEB" w:rsidP="00274AE2">
            <w:pPr>
              <w:jc w:val="right"/>
              <w:rPr>
                <w:sz w:val="18"/>
                <w:szCs w:val="18"/>
                <w:lang w:eastAsia="sk-SK"/>
              </w:rPr>
            </w:pPr>
            <w:r>
              <w:rPr>
                <w:sz w:val="18"/>
                <w:szCs w:val="18"/>
                <w:lang w:eastAsia="sk-SK"/>
              </w:rPr>
              <w:t>23 925</w:t>
            </w:r>
          </w:p>
        </w:tc>
      </w:tr>
      <w:tr w:rsidR="00F0114D" w:rsidRPr="00F0114D" w:rsidTr="00F0114D">
        <w:trPr>
          <w:trHeight w:val="240"/>
        </w:trPr>
        <w:tc>
          <w:tcPr>
            <w:tcW w:w="5996" w:type="dxa"/>
            <w:tcBorders>
              <w:top w:val="nil"/>
              <w:left w:val="nil"/>
              <w:bottom w:val="nil"/>
              <w:right w:val="nil"/>
            </w:tcBorders>
            <w:shd w:val="clear" w:color="auto" w:fill="auto"/>
            <w:vAlign w:val="bottom"/>
            <w:hideMark/>
          </w:tcPr>
          <w:p w:rsidR="00F0114D" w:rsidRPr="00F0114D" w:rsidRDefault="00F0114D" w:rsidP="00F0114D">
            <w:pPr>
              <w:rPr>
                <w:sz w:val="18"/>
                <w:szCs w:val="18"/>
                <w:lang w:eastAsia="sk-SK"/>
              </w:rPr>
            </w:pPr>
            <w:r w:rsidRPr="00F0114D">
              <w:rPr>
                <w:sz w:val="18"/>
                <w:szCs w:val="18"/>
                <w:lang w:eastAsia="sk-SK"/>
              </w:rPr>
              <w:t>(Úbytok) prírastok záväzkov a výdavkov budúcich období</w:t>
            </w:r>
          </w:p>
        </w:tc>
        <w:tc>
          <w:tcPr>
            <w:tcW w:w="1388" w:type="dxa"/>
            <w:tcBorders>
              <w:top w:val="nil"/>
              <w:left w:val="nil"/>
              <w:bottom w:val="nil"/>
              <w:right w:val="nil"/>
            </w:tcBorders>
            <w:shd w:val="clear" w:color="auto" w:fill="auto"/>
            <w:vAlign w:val="bottom"/>
            <w:hideMark/>
          </w:tcPr>
          <w:p w:rsidR="00F0114D" w:rsidRPr="006D4A0A" w:rsidRDefault="006D4A0A" w:rsidP="006D4A0A">
            <w:pPr>
              <w:jc w:val="right"/>
              <w:rPr>
                <w:color w:val="000000" w:themeColor="text1"/>
                <w:sz w:val="18"/>
                <w:szCs w:val="18"/>
                <w:lang w:eastAsia="sk-SK"/>
              </w:rPr>
            </w:pPr>
            <w:r w:rsidRPr="006D4A0A">
              <w:rPr>
                <w:color w:val="000000" w:themeColor="text1"/>
                <w:sz w:val="18"/>
                <w:szCs w:val="18"/>
                <w:lang w:eastAsia="sk-SK"/>
              </w:rPr>
              <w:t>63 007</w:t>
            </w:r>
          </w:p>
        </w:tc>
        <w:tc>
          <w:tcPr>
            <w:tcW w:w="1336" w:type="dxa"/>
            <w:tcBorders>
              <w:top w:val="nil"/>
              <w:left w:val="nil"/>
              <w:bottom w:val="nil"/>
              <w:right w:val="nil"/>
            </w:tcBorders>
            <w:shd w:val="clear" w:color="000000" w:fill="FFFFFF"/>
            <w:vAlign w:val="bottom"/>
            <w:hideMark/>
          </w:tcPr>
          <w:p w:rsidR="00F0114D" w:rsidRPr="00F0114D" w:rsidRDefault="00274AE2" w:rsidP="00756CEB">
            <w:pPr>
              <w:jc w:val="right"/>
              <w:rPr>
                <w:sz w:val="18"/>
                <w:szCs w:val="18"/>
                <w:lang w:eastAsia="sk-SK"/>
              </w:rPr>
            </w:pPr>
            <w:r>
              <w:rPr>
                <w:sz w:val="18"/>
                <w:szCs w:val="18"/>
                <w:lang w:eastAsia="sk-SK"/>
              </w:rPr>
              <w:t>-</w:t>
            </w:r>
            <w:r w:rsidR="00756CEB">
              <w:rPr>
                <w:sz w:val="18"/>
                <w:szCs w:val="18"/>
                <w:lang w:eastAsia="sk-SK"/>
              </w:rPr>
              <w:t>148 543</w:t>
            </w:r>
          </w:p>
        </w:tc>
      </w:tr>
      <w:tr w:rsidR="00F0114D" w:rsidRPr="00F0114D" w:rsidTr="00F0114D">
        <w:trPr>
          <w:trHeight w:val="255"/>
        </w:trPr>
        <w:tc>
          <w:tcPr>
            <w:tcW w:w="5996" w:type="dxa"/>
            <w:tcBorders>
              <w:top w:val="nil"/>
              <w:left w:val="nil"/>
              <w:bottom w:val="nil"/>
              <w:right w:val="nil"/>
            </w:tcBorders>
            <w:shd w:val="clear" w:color="auto" w:fill="auto"/>
            <w:vAlign w:val="bottom"/>
            <w:hideMark/>
          </w:tcPr>
          <w:p w:rsidR="00F0114D" w:rsidRPr="00F0114D" w:rsidRDefault="00274AE2" w:rsidP="00F0114D">
            <w:pPr>
              <w:rPr>
                <w:b/>
                <w:bCs/>
                <w:sz w:val="18"/>
                <w:szCs w:val="18"/>
                <w:lang w:eastAsia="sk-SK"/>
              </w:rPr>
            </w:pPr>
            <w:r>
              <w:rPr>
                <w:b/>
                <w:bCs/>
                <w:sz w:val="18"/>
                <w:szCs w:val="18"/>
                <w:lang w:eastAsia="sk-SK"/>
              </w:rPr>
              <w:t>Vplyv zmien stavu pracovného kapitálu</w:t>
            </w:r>
          </w:p>
        </w:tc>
        <w:tc>
          <w:tcPr>
            <w:tcW w:w="1388" w:type="dxa"/>
            <w:tcBorders>
              <w:top w:val="single" w:sz="4" w:space="0" w:color="auto"/>
              <w:left w:val="nil"/>
              <w:bottom w:val="double" w:sz="6" w:space="0" w:color="auto"/>
              <w:right w:val="nil"/>
            </w:tcBorders>
            <w:shd w:val="clear" w:color="auto" w:fill="auto"/>
            <w:vAlign w:val="bottom"/>
            <w:hideMark/>
          </w:tcPr>
          <w:p w:rsidR="00F0114D" w:rsidRPr="006D4A0A" w:rsidRDefault="00274AE2" w:rsidP="006D4A0A">
            <w:pPr>
              <w:jc w:val="right"/>
              <w:rPr>
                <w:b/>
                <w:bCs/>
                <w:color w:val="000000" w:themeColor="text1"/>
                <w:sz w:val="18"/>
                <w:szCs w:val="18"/>
                <w:lang w:eastAsia="sk-SK"/>
              </w:rPr>
            </w:pPr>
            <w:r w:rsidRPr="006D4A0A">
              <w:rPr>
                <w:b/>
                <w:bCs/>
                <w:color w:val="000000" w:themeColor="text1"/>
                <w:sz w:val="18"/>
                <w:szCs w:val="18"/>
                <w:lang w:eastAsia="sk-SK"/>
              </w:rPr>
              <w:t>-</w:t>
            </w:r>
            <w:r w:rsidR="006D4A0A" w:rsidRPr="006D4A0A">
              <w:rPr>
                <w:b/>
                <w:bCs/>
                <w:color w:val="000000" w:themeColor="text1"/>
                <w:sz w:val="18"/>
                <w:szCs w:val="18"/>
                <w:lang w:eastAsia="sk-SK"/>
              </w:rPr>
              <w:t>66 857</w:t>
            </w:r>
          </w:p>
        </w:tc>
        <w:tc>
          <w:tcPr>
            <w:tcW w:w="1336" w:type="dxa"/>
            <w:tcBorders>
              <w:top w:val="single" w:sz="4" w:space="0" w:color="auto"/>
              <w:left w:val="nil"/>
              <w:bottom w:val="double" w:sz="6" w:space="0" w:color="auto"/>
              <w:right w:val="nil"/>
            </w:tcBorders>
            <w:shd w:val="clear" w:color="000000" w:fill="FFFFFF"/>
            <w:vAlign w:val="bottom"/>
            <w:hideMark/>
          </w:tcPr>
          <w:p w:rsidR="00F0114D" w:rsidRPr="00F0114D" w:rsidRDefault="00586677" w:rsidP="00274AE2">
            <w:pPr>
              <w:jc w:val="right"/>
              <w:rPr>
                <w:b/>
                <w:bCs/>
                <w:color w:val="000000"/>
                <w:sz w:val="18"/>
                <w:szCs w:val="18"/>
                <w:lang w:eastAsia="sk-SK"/>
              </w:rPr>
            </w:pPr>
            <w:r>
              <w:rPr>
                <w:b/>
                <w:bCs/>
                <w:color w:val="000000"/>
                <w:sz w:val="18"/>
                <w:szCs w:val="18"/>
                <w:lang w:eastAsia="sk-SK"/>
              </w:rPr>
              <w:t>-238 200</w:t>
            </w:r>
          </w:p>
        </w:tc>
      </w:tr>
      <w:tr w:rsidR="00F0114D" w:rsidRPr="00F0114D" w:rsidTr="00F0114D">
        <w:trPr>
          <w:trHeight w:val="240"/>
        </w:trPr>
        <w:tc>
          <w:tcPr>
            <w:tcW w:w="5996" w:type="dxa"/>
            <w:tcBorders>
              <w:top w:val="nil"/>
              <w:left w:val="nil"/>
              <w:bottom w:val="nil"/>
              <w:right w:val="nil"/>
            </w:tcBorders>
            <w:shd w:val="clear" w:color="auto" w:fill="auto"/>
            <w:vAlign w:val="bottom"/>
            <w:hideMark/>
          </w:tcPr>
          <w:p w:rsidR="00F0114D" w:rsidRPr="00F0114D" w:rsidRDefault="00F0114D" w:rsidP="00F0114D">
            <w:pPr>
              <w:rPr>
                <w:b/>
                <w:bCs/>
                <w:sz w:val="18"/>
                <w:szCs w:val="18"/>
                <w:lang w:eastAsia="sk-SK"/>
              </w:rPr>
            </w:pPr>
            <w:r w:rsidRPr="00F0114D">
              <w:rPr>
                <w:b/>
                <w:bCs/>
                <w:sz w:val="18"/>
                <w:szCs w:val="18"/>
                <w:lang w:eastAsia="sk-SK"/>
              </w:rPr>
              <w:t>Peňažné toky z prevádzkovej činnosti</w:t>
            </w:r>
          </w:p>
        </w:tc>
        <w:tc>
          <w:tcPr>
            <w:tcW w:w="1388" w:type="dxa"/>
            <w:tcBorders>
              <w:top w:val="nil"/>
              <w:left w:val="nil"/>
              <w:bottom w:val="nil"/>
              <w:right w:val="nil"/>
            </w:tcBorders>
            <w:shd w:val="clear" w:color="auto" w:fill="auto"/>
            <w:vAlign w:val="bottom"/>
            <w:hideMark/>
          </w:tcPr>
          <w:p w:rsidR="00F0114D" w:rsidRPr="006D4A0A" w:rsidRDefault="00F0114D" w:rsidP="00F0114D">
            <w:pPr>
              <w:jc w:val="right"/>
              <w:rPr>
                <w:color w:val="000000" w:themeColor="text1"/>
                <w:sz w:val="18"/>
                <w:szCs w:val="18"/>
                <w:lang w:eastAsia="sk-SK"/>
              </w:rPr>
            </w:pPr>
          </w:p>
        </w:tc>
        <w:tc>
          <w:tcPr>
            <w:tcW w:w="1336" w:type="dxa"/>
            <w:tcBorders>
              <w:top w:val="nil"/>
              <w:left w:val="nil"/>
              <w:bottom w:val="nil"/>
              <w:right w:val="nil"/>
            </w:tcBorders>
            <w:shd w:val="clear" w:color="000000" w:fill="FFFFFF"/>
            <w:vAlign w:val="bottom"/>
            <w:hideMark/>
          </w:tcPr>
          <w:p w:rsidR="00F0114D" w:rsidRPr="00F0114D" w:rsidRDefault="00F0114D" w:rsidP="00F0114D">
            <w:pPr>
              <w:jc w:val="right"/>
              <w:rPr>
                <w:sz w:val="18"/>
                <w:szCs w:val="18"/>
                <w:lang w:eastAsia="sk-SK"/>
              </w:rPr>
            </w:pPr>
            <w:r w:rsidRPr="00F0114D">
              <w:rPr>
                <w:sz w:val="18"/>
                <w:szCs w:val="18"/>
                <w:lang w:eastAsia="sk-SK"/>
              </w:rPr>
              <w:t> </w:t>
            </w:r>
          </w:p>
        </w:tc>
      </w:tr>
      <w:tr w:rsidR="00F0114D" w:rsidRPr="00F0114D" w:rsidTr="00F0114D">
        <w:trPr>
          <w:trHeight w:val="240"/>
        </w:trPr>
        <w:tc>
          <w:tcPr>
            <w:tcW w:w="5996" w:type="dxa"/>
            <w:tcBorders>
              <w:top w:val="nil"/>
              <w:left w:val="nil"/>
              <w:bottom w:val="nil"/>
              <w:right w:val="nil"/>
            </w:tcBorders>
            <w:shd w:val="clear" w:color="auto" w:fill="auto"/>
            <w:vAlign w:val="bottom"/>
            <w:hideMark/>
          </w:tcPr>
          <w:p w:rsidR="00F0114D" w:rsidRPr="00F0114D" w:rsidRDefault="00F0114D" w:rsidP="00F0114D">
            <w:pPr>
              <w:rPr>
                <w:sz w:val="18"/>
                <w:szCs w:val="18"/>
                <w:lang w:eastAsia="sk-SK"/>
              </w:rPr>
            </w:pPr>
            <w:r w:rsidRPr="00F0114D">
              <w:rPr>
                <w:sz w:val="18"/>
                <w:szCs w:val="18"/>
                <w:lang w:eastAsia="sk-SK"/>
              </w:rPr>
              <w:t>Prevádzkové peňažné toky</w:t>
            </w:r>
          </w:p>
        </w:tc>
        <w:tc>
          <w:tcPr>
            <w:tcW w:w="1388" w:type="dxa"/>
            <w:tcBorders>
              <w:top w:val="nil"/>
              <w:left w:val="nil"/>
              <w:bottom w:val="nil"/>
              <w:right w:val="nil"/>
            </w:tcBorders>
            <w:shd w:val="clear" w:color="auto" w:fill="auto"/>
            <w:vAlign w:val="bottom"/>
            <w:hideMark/>
          </w:tcPr>
          <w:p w:rsidR="00F0114D" w:rsidRPr="006D4A0A" w:rsidRDefault="006D4A0A" w:rsidP="006D4A0A">
            <w:pPr>
              <w:jc w:val="right"/>
              <w:rPr>
                <w:b/>
                <w:bCs/>
                <w:color w:val="000000" w:themeColor="text1"/>
                <w:sz w:val="18"/>
                <w:szCs w:val="18"/>
                <w:lang w:eastAsia="sk-SK"/>
              </w:rPr>
            </w:pPr>
            <w:r w:rsidRPr="006D4A0A">
              <w:rPr>
                <w:b/>
                <w:bCs/>
                <w:color w:val="000000" w:themeColor="text1"/>
                <w:sz w:val="18"/>
                <w:szCs w:val="18"/>
                <w:lang w:eastAsia="sk-SK"/>
              </w:rPr>
              <w:t>178 767</w:t>
            </w:r>
          </w:p>
        </w:tc>
        <w:tc>
          <w:tcPr>
            <w:tcW w:w="1336" w:type="dxa"/>
            <w:tcBorders>
              <w:top w:val="nil"/>
              <w:left w:val="nil"/>
              <w:bottom w:val="nil"/>
              <w:right w:val="nil"/>
            </w:tcBorders>
            <w:shd w:val="clear" w:color="auto" w:fill="auto"/>
            <w:vAlign w:val="bottom"/>
            <w:hideMark/>
          </w:tcPr>
          <w:p w:rsidR="00F0114D" w:rsidRPr="00F0114D" w:rsidRDefault="00B27F50" w:rsidP="00586677">
            <w:pPr>
              <w:jc w:val="right"/>
              <w:rPr>
                <w:b/>
                <w:bCs/>
                <w:sz w:val="18"/>
                <w:szCs w:val="18"/>
                <w:lang w:eastAsia="sk-SK"/>
              </w:rPr>
            </w:pPr>
            <w:r>
              <w:rPr>
                <w:b/>
                <w:bCs/>
                <w:sz w:val="18"/>
                <w:szCs w:val="18"/>
                <w:lang w:eastAsia="sk-SK"/>
              </w:rPr>
              <w:t>-</w:t>
            </w:r>
            <w:r w:rsidR="00586677">
              <w:rPr>
                <w:b/>
                <w:bCs/>
                <w:sz w:val="18"/>
                <w:szCs w:val="18"/>
                <w:lang w:eastAsia="sk-SK"/>
              </w:rPr>
              <w:t>80 780</w:t>
            </w:r>
          </w:p>
        </w:tc>
      </w:tr>
      <w:tr w:rsidR="00F0114D" w:rsidRPr="00F0114D" w:rsidTr="00F0114D">
        <w:trPr>
          <w:trHeight w:val="240"/>
        </w:trPr>
        <w:tc>
          <w:tcPr>
            <w:tcW w:w="5996" w:type="dxa"/>
            <w:tcBorders>
              <w:top w:val="nil"/>
              <w:left w:val="nil"/>
              <w:bottom w:val="nil"/>
              <w:right w:val="nil"/>
            </w:tcBorders>
            <w:shd w:val="clear" w:color="auto" w:fill="auto"/>
            <w:vAlign w:val="bottom"/>
            <w:hideMark/>
          </w:tcPr>
          <w:p w:rsidR="00F0114D" w:rsidRPr="00F0114D" w:rsidRDefault="00F0114D" w:rsidP="00F0114D">
            <w:pPr>
              <w:rPr>
                <w:sz w:val="18"/>
                <w:szCs w:val="18"/>
                <w:lang w:eastAsia="sk-SK"/>
              </w:rPr>
            </w:pPr>
            <w:r w:rsidRPr="00F0114D">
              <w:rPr>
                <w:sz w:val="18"/>
                <w:szCs w:val="18"/>
                <w:lang w:eastAsia="sk-SK"/>
              </w:rPr>
              <w:t>Prijaté úroky</w:t>
            </w:r>
          </w:p>
        </w:tc>
        <w:tc>
          <w:tcPr>
            <w:tcW w:w="1388" w:type="dxa"/>
            <w:tcBorders>
              <w:top w:val="nil"/>
              <w:left w:val="nil"/>
              <w:bottom w:val="nil"/>
              <w:right w:val="nil"/>
            </w:tcBorders>
            <w:shd w:val="clear" w:color="auto" w:fill="auto"/>
            <w:vAlign w:val="bottom"/>
            <w:hideMark/>
          </w:tcPr>
          <w:p w:rsidR="00F0114D" w:rsidRPr="006D4A0A" w:rsidRDefault="006D4A0A" w:rsidP="00F0114D">
            <w:pPr>
              <w:jc w:val="right"/>
              <w:rPr>
                <w:color w:val="000000" w:themeColor="text1"/>
                <w:sz w:val="18"/>
                <w:szCs w:val="18"/>
                <w:lang w:eastAsia="sk-SK"/>
              </w:rPr>
            </w:pPr>
            <w:r w:rsidRPr="006D4A0A">
              <w:rPr>
                <w:color w:val="000000" w:themeColor="text1"/>
                <w:sz w:val="18"/>
                <w:szCs w:val="18"/>
                <w:lang w:eastAsia="sk-SK"/>
              </w:rPr>
              <w:t>16</w:t>
            </w:r>
          </w:p>
        </w:tc>
        <w:tc>
          <w:tcPr>
            <w:tcW w:w="1336" w:type="dxa"/>
            <w:tcBorders>
              <w:top w:val="nil"/>
              <w:left w:val="nil"/>
              <w:bottom w:val="nil"/>
              <w:right w:val="nil"/>
            </w:tcBorders>
            <w:shd w:val="clear" w:color="000000" w:fill="FFFFFF"/>
            <w:vAlign w:val="bottom"/>
            <w:hideMark/>
          </w:tcPr>
          <w:p w:rsidR="00F0114D" w:rsidRPr="00F0114D" w:rsidRDefault="00586677" w:rsidP="00F0114D">
            <w:pPr>
              <w:jc w:val="right"/>
              <w:rPr>
                <w:sz w:val="18"/>
                <w:szCs w:val="18"/>
                <w:lang w:eastAsia="sk-SK"/>
              </w:rPr>
            </w:pPr>
            <w:r>
              <w:rPr>
                <w:sz w:val="18"/>
                <w:szCs w:val="18"/>
                <w:lang w:eastAsia="sk-SK"/>
              </w:rPr>
              <w:t>32</w:t>
            </w:r>
          </w:p>
        </w:tc>
      </w:tr>
      <w:tr w:rsidR="00CF4AFE" w:rsidRPr="00F0114D" w:rsidTr="00F0114D">
        <w:trPr>
          <w:trHeight w:val="240"/>
        </w:trPr>
        <w:tc>
          <w:tcPr>
            <w:tcW w:w="5996" w:type="dxa"/>
            <w:tcBorders>
              <w:top w:val="nil"/>
              <w:left w:val="nil"/>
              <w:bottom w:val="nil"/>
              <w:right w:val="nil"/>
            </w:tcBorders>
            <w:shd w:val="clear" w:color="auto" w:fill="auto"/>
            <w:vAlign w:val="bottom"/>
          </w:tcPr>
          <w:p w:rsidR="00CF4AFE" w:rsidRPr="00F0114D" w:rsidRDefault="00CF4AFE" w:rsidP="00F0114D">
            <w:pPr>
              <w:rPr>
                <w:sz w:val="18"/>
                <w:szCs w:val="18"/>
                <w:lang w:eastAsia="sk-SK"/>
              </w:rPr>
            </w:pPr>
            <w:r>
              <w:rPr>
                <w:sz w:val="18"/>
                <w:szCs w:val="18"/>
                <w:lang w:eastAsia="sk-SK"/>
              </w:rPr>
              <w:t>Výdavky na zaplatené úroky</w:t>
            </w:r>
          </w:p>
        </w:tc>
        <w:tc>
          <w:tcPr>
            <w:tcW w:w="1388" w:type="dxa"/>
            <w:tcBorders>
              <w:top w:val="nil"/>
              <w:left w:val="nil"/>
              <w:bottom w:val="nil"/>
              <w:right w:val="nil"/>
            </w:tcBorders>
            <w:shd w:val="clear" w:color="auto" w:fill="auto"/>
            <w:vAlign w:val="bottom"/>
          </w:tcPr>
          <w:p w:rsidR="00CF4AFE" w:rsidRPr="006D4A0A" w:rsidRDefault="006D4A0A" w:rsidP="00F0114D">
            <w:pPr>
              <w:jc w:val="right"/>
              <w:rPr>
                <w:color w:val="000000" w:themeColor="text1"/>
                <w:sz w:val="18"/>
                <w:szCs w:val="18"/>
                <w:lang w:eastAsia="sk-SK"/>
              </w:rPr>
            </w:pPr>
            <w:r w:rsidRPr="006D4A0A">
              <w:rPr>
                <w:color w:val="000000" w:themeColor="text1"/>
                <w:sz w:val="18"/>
                <w:szCs w:val="18"/>
                <w:lang w:eastAsia="sk-SK"/>
              </w:rPr>
              <w:t>-1</w:t>
            </w:r>
            <w:r>
              <w:rPr>
                <w:color w:val="000000" w:themeColor="text1"/>
                <w:sz w:val="18"/>
                <w:szCs w:val="18"/>
                <w:lang w:eastAsia="sk-SK"/>
              </w:rPr>
              <w:t xml:space="preserve"> </w:t>
            </w:r>
            <w:r w:rsidRPr="006D4A0A">
              <w:rPr>
                <w:color w:val="000000" w:themeColor="text1"/>
                <w:sz w:val="18"/>
                <w:szCs w:val="18"/>
                <w:lang w:eastAsia="sk-SK"/>
              </w:rPr>
              <w:t>854</w:t>
            </w:r>
          </w:p>
        </w:tc>
        <w:tc>
          <w:tcPr>
            <w:tcW w:w="1336" w:type="dxa"/>
            <w:tcBorders>
              <w:top w:val="nil"/>
              <w:left w:val="nil"/>
              <w:bottom w:val="nil"/>
              <w:right w:val="nil"/>
            </w:tcBorders>
            <w:shd w:val="clear" w:color="000000" w:fill="FFFFFF"/>
            <w:vAlign w:val="bottom"/>
          </w:tcPr>
          <w:p w:rsidR="00CF4AFE" w:rsidRDefault="006D4A0A" w:rsidP="00F0114D">
            <w:pPr>
              <w:jc w:val="right"/>
              <w:rPr>
                <w:sz w:val="18"/>
                <w:szCs w:val="18"/>
                <w:lang w:eastAsia="sk-SK"/>
              </w:rPr>
            </w:pPr>
            <w:r>
              <w:rPr>
                <w:sz w:val="18"/>
                <w:szCs w:val="18"/>
                <w:lang w:eastAsia="sk-SK"/>
              </w:rPr>
              <w:t>-</w:t>
            </w:r>
            <w:r w:rsidR="00586677">
              <w:rPr>
                <w:sz w:val="18"/>
                <w:szCs w:val="18"/>
                <w:lang w:eastAsia="sk-SK"/>
              </w:rPr>
              <w:t>575</w:t>
            </w:r>
          </w:p>
        </w:tc>
      </w:tr>
      <w:tr w:rsidR="00F0114D" w:rsidRPr="00F0114D" w:rsidTr="00F0114D">
        <w:trPr>
          <w:trHeight w:val="240"/>
        </w:trPr>
        <w:tc>
          <w:tcPr>
            <w:tcW w:w="5996" w:type="dxa"/>
            <w:tcBorders>
              <w:top w:val="nil"/>
              <w:left w:val="nil"/>
              <w:bottom w:val="nil"/>
              <w:right w:val="nil"/>
            </w:tcBorders>
            <w:shd w:val="clear" w:color="auto" w:fill="auto"/>
            <w:vAlign w:val="bottom"/>
            <w:hideMark/>
          </w:tcPr>
          <w:p w:rsidR="00F0114D" w:rsidRPr="00F0114D" w:rsidRDefault="00F0114D" w:rsidP="00F0114D">
            <w:pPr>
              <w:rPr>
                <w:sz w:val="18"/>
                <w:szCs w:val="18"/>
                <w:lang w:eastAsia="sk-SK"/>
              </w:rPr>
            </w:pPr>
            <w:r w:rsidRPr="00F0114D">
              <w:rPr>
                <w:sz w:val="18"/>
                <w:szCs w:val="18"/>
                <w:lang w:eastAsia="sk-SK"/>
              </w:rPr>
              <w:t>Zaplatená daň z príjmov</w:t>
            </w:r>
          </w:p>
        </w:tc>
        <w:tc>
          <w:tcPr>
            <w:tcW w:w="1388" w:type="dxa"/>
            <w:tcBorders>
              <w:top w:val="nil"/>
              <w:left w:val="nil"/>
              <w:bottom w:val="nil"/>
              <w:right w:val="nil"/>
            </w:tcBorders>
            <w:shd w:val="clear" w:color="auto" w:fill="auto"/>
            <w:vAlign w:val="bottom"/>
            <w:hideMark/>
          </w:tcPr>
          <w:p w:rsidR="00F0114D" w:rsidRPr="006D4A0A" w:rsidRDefault="00F0114D" w:rsidP="006D4A0A">
            <w:pPr>
              <w:jc w:val="right"/>
              <w:rPr>
                <w:color w:val="000000" w:themeColor="text1"/>
                <w:sz w:val="18"/>
                <w:szCs w:val="18"/>
                <w:lang w:eastAsia="sk-SK"/>
              </w:rPr>
            </w:pPr>
            <w:r w:rsidRPr="006D4A0A">
              <w:rPr>
                <w:color w:val="000000" w:themeColor="text1"/>
                <w:sz w:val="18"/>
                <w:szCs w:val="18"/>
                <w:lang w:eastAsia="sk-SK"/>
              </w:rPr>
              <w:t>-</w:t>
            </w:r>
            <w:r w:rsidR="0065269E" w:rsidRPr="006D4A0A">
              <w:rPr>
                <w:color w:val="000000" w:themeColor="text1"/>
                <w:sz w:val="18"/>
                <w:szCs w:val="18"/>
                <w:lang w:eastAsia="sk-SK"/>
              </w:rPr>
              <w:t>2 88</w:t>
            </w:r>
            <w:r w:rsidR="006D4A0A" w:rsidRPr="006D4A0A">
              <w:rPr>
                <w:color w:val="000000" w:themeColor="text1"/>
                <w:sz w:val="18"/>
                <w:szCs w:val="18"/>
                <w:lang w:eastAsia="sk-SK"/>
              </w:rPr>
              <w:t>3</w:t>
            </w:r>
          </w:p>
        </w:tc>
        <w:tc>
          <w:tcPr>
            <w:tcW w:w="1336" w:type="dxa"/>
            <w:tcBorders>
              <w:top w:val="nil"/>
              <w:left w:val="nil"/>
              <w:bottom w:val="nil"/>
              <w:right w:val="nil"/>
            </w:tcBorders>
            <w:shd w:val="clear" w:color="000000" w:fill="FFFFFF"/>
            <w:vAlign w:val="bottom"/>
            <w:hideMark/>
          </w:tcPr>
          <w:p w:rsidR="00F0114D" w:rsidRPr="00F0114D" w:rsidRDefault="00B27F50" w:rsidP="00586677">
            <w:pPr>
              <w:jc w:val="right"/>
              <w:rPr>
                <w:sz w:val="18"/>
                <w:szCs w:val="18"/>
                <w:lang w:eastAsia="sk-SK"/>
              </w:rPr>
            </w:pPr>
            <w:r>
              <w:rPr>
                <w:sz w:val="18"/>
                <w:szCs w:val="18"/>
                <w:lang w:eastAsia="sk-SK"/>
              </w:rPr>
              <w:t>-2 88</w:t>
            </w:r>
            <w:r w:rsidR="00586677">
              <w:rPr>
                <w:sz w:val="18"/>
                <w:szCs w:val="18"/>
                <w:lang w:eastAsia="sk-SK"/>
              </w:rPr>
              <w:t>6</w:t>
            </w:r>
          </w:p>
        </w:tc>
      </w:tr>
      <w:tr w:rsidR="00F0114D" w:rsidRPr="00F0114D" w:rsidTr="00F0114D">
        <w:trPr>
          <w:trHeight w:val="240"/>
        </w:trPr>
        <w:tc>
          <w:tcPr>
            <w:tcW w:w="5996" w:type="dxa"/>
            <w:tcBorders>
              <w:top w:val="nil"/>
              <w:left w:val="nil"/>
              <w:bottom w:val="nil"/>
              <w:right w:val="nil"/>
            </w:tcBorders>
            <w:shd w:val="clear" w:color="auto" w:fill="auto"/>
            <w:vAlign w:val="bottom"/>
            <w:hideMark/>
          </w:tcPr>
          <w:p w:rsidR="00F0114D" w:rsidRPr="00F0114D" w:rsidRDefault="00F0114D" w:rsidP="00F0114D">
            <w:pPr>
              <w:rPr>
                <w:sz w:val="18"/>
                <w:szCs w:val="18"/>
                <w:lang w:eastAsia="sk-SK"/>
              </w:rPr>
            </w:pPr>
            <w:r w:rsidRPr="00F0114D">
              <w:rPr>
                <w:sz w:val="18"/>
                <w:szCs w:val="18"/>
                <w:lang w:eastAsia="sk-SK"/>
              </w:rPr>
              <w:t>Vyplatené dividendy</w:t>
            </w:r>
            <w:r>
              <w:rPr>
                <w:sz w:val="18"/>
                <w:szCs w:val="18"/>
                <w:lang w:eastAsia="sk-SK"/>
              </w:rPr>
              <w:t xml:space="preserve"> a odmeny zo zisku</w:t>
            </w:r>
          </w:p>
        </w:tc>
        <w:tc>
          <w:tcPr>
            <w:tcW w:w="1388" w:type="dxa"/>
            <w:tcBorders>
              <w:top w:val="nil"/>
              <w:left w:val="nil"/>
              <w:bottom w:val="nil"/>
              <w:right w:val="nil"/>
            </w:tcBorders>
            <w:shd w:val="clear" w:color="auto" w:fill="auto"/>
            <w:vAlign w:val="bottom"/>
            <w:hideMark/>
          </w:tcPr>
          <w:p w:rsidR="00F0114D" w:rsidRPr="006D4A0A" w:rsidRDefault="00CF4AFE" w:rsidP="00B27F50">
            <w:pPr>
              <w:jc w:val="right"/>
              <w:rPr>
                <w:color w:val="000000" w:themeColor="text1"/>
                <w:sz w:val="18"/>
                <w:szCs w:val="18"/>
                <w:lang w:eastAsia="sk-SK"/>
              </w:rPr>
            </w:pPr>
            <w:r w:rsidRPr="006D4A0A">
              <w:rPr>
                <w:color w:val="000000" w:themeColor="text1"/>
                <w:sz w:val="18"/>
                <w:szCs w:val="18"/>
                <w:lang w:eastAsia="sk-SK"/>
              </w:rPr>
              <w:t>0</w:t>
            </w:r>
          </w:p>
        </w:tc>
        <w:tc>
          <w:tcPr>
            <w:tcW w:w="1336" w:type="dxa"/>
            <w:tcBorders>
              <w:top w:val="nil"/>
              <w:left w:val="nil"/>
              <w:bottom w:val="nil"/>
              <w:right w:val="nil"/>
            </w:tcBorders>
            <w:shd w:val="clear" w:color="000000" w:fill="FFFFFF"/>
            <w:vAlign w:val="bottom"/>
            <w:hideMark/>
          </w:tcPr>
          <w:p w:rsidR="00F0114D" w:rsidRPr="00F0114D" w:rsidRDefault="00586677" w:rsidP="00586677">
            <w:pPr>
              <w:jc w:val="right"/>
              <w:rPr>
                <w:sz w:val="18"/>
                <w:szCs w:val="18"/>
                <w:lang w:eastAsia="sk-SK"/>
              </w:rPr>
            </w:pPr>
            <w:r>
              <w:rPr>
                <w:sz w:val="18"/>
                <w:szCs w:val="18"/>
                <w:lang w:eastAsia="sk-SK"/>
              </w:rPr>
              <w:t>0</w:t>
            </w:r>
          </w:p>
        </w:tc>
      </w:tr>
      <w:tr w:rsidR="00F0114D" w:rsidRPr="00F0114D" w:rsidTr="00F0114D">
        <w:trPr>
          <w:trHeight w:val="255"/>
        </w:trPr>
        <w:tc>
          <w:tcPr>
            <w:tcW w:w="5996" w:type="dxa"/>
            <w:tcBorders>
              <w:top w:val="nil"/>
              <w:left w:val="nil"/>
              <w:bottom w:val="nil"/>
              <w:right w:val="nil"/>
            </w:tcBorders>
            <w:shd w:val="clear" w:color="auto" w:fill="auto"/>
            <w:vAlign w:val="bottom"/>
            <w:hideMark/>
          </w:tcPr>
          <w:p w:rsidR="00F0114D" w:rsidRPr="00F0114D" w:rsidRDefault="00F0114D" w:rsidP="00F0114D">
            <w:pPr>
              <w:rPr>
                <w:b/>
                <w:bCs/>
                <w:sz w:val="18"/>
                <w:szCs w:val="18"/>
                <w:lang w:eastAsia="sk-SK"/>
              </w:rPr>
            </w:pPr>
            <w:r w:rsidRPr="00F0114D">
              <w:rPr>
                <w:b/>
                <w:bCs/>
                <w:sz w:val="18"/>
                <w:szCs w:val="18"/>
                <w:lang w:eastAsia="sk-SK"/>
              </w:rPr>
              <w:t>Čisté peňažné toky z prevádzkovej činnosti</w:t>
            </w:r>
          </w:p>
        </w:tc>
        <w:tc>
          <w:tcPr>
            <w:tcW w:w="1388" w:type="dxa"/>
            <w:tcBorders>
              <w:top w:val="single" w:sz="4" w:space="0" w:color="auto"/>
              <w:left w:val="nil"/>
              <w:bottom w:val="double" w:sz="6" w:space="0" w:color="auto"/>
              <w:right w:val="nil"/>
            </w:tcBorders>
            <w:shd w:val="clear" w:color="auto" w:fill="auto"/>
            <w:vAlign w:val="bottom"/>
            <w:hideMark/>
          </w:tcPr>
          <w:p w:rsidR="00F0114D" w:rsidRPr="006D4A0A" w:rsidRDefault="004046CA" w:rsidP="006D4A0A">
            <w:pPr>
              <w:jc w:val="right"/>
              <w:rPr>
                <w:b/>
                <w:bCs/>
                <w:color w:val="000000" w:themeColor="text1"/>
                <w:sz w:val="18"/>
                <w:szCs w:val="18"/>
                <w:lang w:eastAsia="sk-SK"/>
              </w:rPr>
            </w:pPr>
            <w:r w:rsidRPr="006D4A0A">
              <w:rPr>
                <w:b/>
                <w:bCs/>
                <w:color w:val="000000" w:themeColor="text1"/>
                <w:sz w:val="18"/>
                <w:szCs w:val="18"/>
                <w:lang w:eastAsia="sk-SK"/>
              </w:rPr>
              <w:t>-</w:t>
            </w:r>
            <w:r w:rsidR="006D4A0A" w:rsidRPr="006D4A0A">
              <w:rPr>
                <w:b/>
                <w:bCs/>
                <w:color w:val="000000" w:themeColor="text1"/>
                <w:sz w:val="18"/>
                <w:szCs w:val="18"/>
                <w:lang w:eastAsia="sk-SK"/>
              </w:rPr>
              <w:t>174 046</w:t>
            </w:r>
          </w:p>
        </w:tc>
        <w:tc>
          <w:tcPr>
            <w:tcW w:w="1336" w:type="dxa"/>
            <w:tcBorders>
              <w:top w:val="single" w:sz="4" w:space="0" w:color="auto"/>
              <w:left w:val="nil"/>
              <w:bottom w:val="double" w:sz="6" w:space="0" w:color="auto"/>
              <w:right w:val="nil"/>
            </w:tcBorders>
            <w:shd w:val="clear" w:color="000000" w:fill="FFFFFF"/>
            <w:vAlign w:val="bottom"/>
            <w:hideMark/>
          </w:tcPr>
          <w:p w:rsidR="00F0114D" w:rsidRPr="00F0114D" w:rsidRDefault="00CF4AFE" w:rsidP="00586677">
            <w:pPr>
              <w:jc w:val="right"/>
              <w:rPr>
                <w:b/>
                <w:bCs/>
                <w:color w:val="000000"/>
                <w:sz w:val="18"/>
                <w:szCs w:val="18"/>
                <w:lang w:eastAsia="sk-SK"/>
              </w:rPr>
            </w:pPr>
            <w:r>
              <w:rPr>
                <w:b/>
                <w:bCs/>
                <w:color w:val="000000"/>
                <w:sz w:val="18"/>
                <w:szCs w:val="18"/>
                <w:lang w:eastAsia="sk-SK"/>
              </w:rPr>
              <w:t>-</w:t>
            </w:r>
            <w:r w:rsidR="00586677">
              <w:rPr>
                <w:b/>
                <w:bCs/>
                <w:color w:val="000000"/>
                <w:sz w:val="18"/>
                <w:szCs w:val="18"/>
                <w:lang w:eastAsia="sk-SK"/>
              </w:rPr>
              <w:t>84 209</w:t>
            </w:r>
          </w:p>
        </w:tc>
      </w:tr>
      <w:tr w:rsidR="00F0114D" w:rsidRPr="00F0114D" w:rsidTr="00F0114D">
        <w:trPr>
          <w:trHeight w:val="240"/>
        </w:trPr>
        <w:tc>
          <w:tcPr>
            <w:tcW w:w="5996" w:type="dxa"/>
            <w:tcBorders>
              <w:top w:val="nil"/>
              <w:left w:val="nil"/>
              <w:bottom w:val="nil"/>
              <w:right w:val="nil"/>
            </w:tcBorders>
            <w:shd w:val="clear" w:color="auto" w:fill="auto"/>
            <w:vAlign w:val="bottom"/>
            <w:hideMark/>
          </w:tcPr>
          <w:p w:rsidR="00F0114D" w:rsidRPr="00F0114D" w:rsidRDefault="00F0114D" w:rsidP="00F0114D">
            <w:pPr>
              <w:rPr>
                <w:b/>
                <w:bCs/>
                <w:sz w:val="18"/>
                <w:szCs w:val="18"/>
                <w:lang w:eastAsia="sk-SK"/>
              </w:rPr>
            </w:pPr>
          </w:p>
        </w:tc>
        <w:tc>
          <w:tcPr>
            <w:tcW w:w="1388" w:type="dxa"/>
            <w:tcBorders>
              <w:top w:val="nil"/>
              <w:left w:val="nil"/>
              <w:bottom w:val="nil"/>
              <w:right w:val="nil"/>
            </w:tcBorders>
            <w:shd w:val="clear" w:color="auto" w:fill="auto"/>
            <w:vAlign w:val="bottom"/>
            <w:hideMark/>
          </w:tcPr>
          <w:p w:rsidR="00F0114D" w:rsidRPr="006D4A0A" w:rsidRDefault="00F0114D" w:rsidP="00F0114D">
            <w:pPr>
              <w:jc w:val="right"/>
              <w:rPr>
                <w:color w:val="000000" w:themeColor="text1"/>
                <w:sz w:val="18"/>
                <w:szCs w:val="18"/>
                <w:lang w:eastAsia="sk-SK"/>
              </w:rPr>
            </w:pPr>
          </w:p>
        </w:tc>
        <w:tc>
          <w:tcPr>
            <w:tcW w:w="1336" w:type="dxa"/>
            <w:tcBorders>
              <w:top w:val="nil"/>
              <w:left w:val="nil"/>
              <w:bottom w:val="nil"/>
              <w:right w:val="nil"/>
            </w:tcBorders>
            <w:shd w:val="clear" w:color="000000" w:fill="FFFFFF"/>
            <w:vAlign w:val="bottom"/>
            <w:hideMark/>
          </w:tcPr>
          <w:p w:rsidR="00F0114D" w:rsidRPr="00F0114D" w:rsidRDefault="00F0114D" w:rsidP="00F0114D">
            <w:pPr>
              <w:jc w:val="right"/>
              <w:rPr>
                <w:sz w:val="18"/>
                <w:szCs w:val="18"/>
                <w:lang w:eastAsia="sk-SK"/>
              </w:rPr>
            </w:pPr>
            <w:r w:rsidRPr="00F0114D">
              <w:rPr>
                <w:sz w:val="18"/>
                <w:szCs w:val="18"/>
                <w:lang w:eastAsia="sk-SK"/>
              </w:rPr>
              <w:t> </w:t>
            </w:r>
          </w:p>
        </w:tc>
      </w:tr>
      <w:tr w:rsidR="00F0114D" w:rsidRPr="00F0114D" w:rsidTr="00F0114D">
        <w:trPr>
          <w:trHeight w:val="240"/>
        </w:trPr>
        <w:tc>
          <w:tcPr>
            <w:tcW w:w="5996" w:type="dxa"/>
            <w:tcBorders>
              <w:top w:val="nil"/>
              <w:left w:val="nil"/>
              <w:bottom w:val="nil"/>
              <w:right w:val="nil"/>
            </w:tcBorders>
            <w:shd w:val="clear" w:color="auto" w:fill="auto"/>
            <w:vAlign w:val="bottom"/>
            <w:hideMark/>
          </w:tcPr>
          <w:p w:rsidR="00F0114D" w:rsidRPr="00F0114D" w:rsidRDefault="00F0114D" w:rsidP="00F0114D">
            <w:pPr>
              <w:rPr>
                <w:b/>
                <w:bCs/>
                <w:sz w:val="18"/>
                <w:szCs w:val="18"/>
                <w:lang w:eastAsia="sk-SK"/>
              </w:rPr>
            </w:pPr>
            <w:r w:rsidRPr="00F0114D">
              <w:rPr>
                <w:b/>
                <w:bCs/>
                <w:sz w:val="18"/>
                <w:szCs w:val="18"/>
                <w:lang w:eastAsia="sk-SK"/>
              </w:rPr>
              <w:t>Peňažné toky z investičnej činnosti</w:t>
            </w:r>
          </w:p>
        </w:tc>
        <w:tc>
          <w:tcPr>
            <w:tcW w:w="1388" w:type="dxa"/>
            <w:tcBorders>
              <w:top w:val="nil"/>
              <w:left w:val="nil"/>
              <w:bottom w:val="nil"/>
              <w:right w:val="nil"/>
            </w:tcBorders>
            <w:shd w:val="clear" w:color="auto" w:fill="auto"/>
            <w:vAlign w:val="bottom"/>
            <w:hideMark/>
          </w:tcPr>
          <w:p w:rsidR="00F0114D" w:rsidRPr="006D4A0A" w:rsidRDefault="00F0114D" w:rsidP="00F0114D">
            <w:pPr>
              <w:jc w:val="right"/>
              <w:rPr>
                <w:color w:val="000000" w:themeColor="text1"/>
                <w:sz w:val="18"/>
                <w:szCs w:val="18"/>
                <w:lang w:eastAsia="sk-SK"/>
              </w:rPr>
            </w:pPr>
          </w:p>
        </w:tc>
        <w:tc>
          <w:tcPr>
            <w:tcW w:w="1336" w:type="dxa"/>
            <w:tcBorders>
              <w:top w:val="nil"/>
              <w:left w:val="nil"/>
              <w:bottom w:val="nil"/>
              <w:right w:val="nil"/>
            </w:tcBorders>
            <w:shd w:val="clear" w:color="000000" w:fill="FFFFFF"/>
            <w:vAlign w:val="bottom"/>
            <w:hideMark/>
          </w:tcPr>
          <w:p w:rsidR="00F0114D" w:rsidRPr="00F0114D" w:rsidRDefault="00F0114D" w:rsidP="00F0114D">
            <w:pPr>
              <w:jc w:val="right"/>
              <w:rPr>
                <w:sz w:val="18"/>
                <w:szCs w:val="18"/>
                <w:lang w:eastAsia="sk-SK"/>
              </w:rPr>
            </w:pPr>
            <w:r w:rsidRPr="00F0114D">
              <w:rPr>
                <w:sz w:val="18"/>
                <w:szCs w:val="18"/>
                <w:lang w:eastAsia="sk-SK"/>
              </w:rPr>
              <w:t> </w:t>
            </w:r>
          </w:p>
        </w:tc>
      </w:tr>
      <w:tr w:rsidR="00CF4AFE" w:rsidRPr="00CF4AFE" w:rsidTr="00F0114D">
        <w:trPr>
          <w:trHeight w:val="240"/>
        </w:trPr>
        <w:tc>
          <w:tcPr>
            <w:tcW w:w="5996" w:type="dxa"/>
            <w:tcBorders>
              <w:top w:val="nil"/>
              <w:left w:val="nil"/>
              <w:bottom w:val="nil"/>
              <w:right w:val="nil"/>
            </w:tcBorders>
            <w:shd w:val="clear" w:color="auto" w:fill="auto"/>
            <w:vAlign w:val="bottom"/>
          </w:tcPr>
          <w:p w:rsidR="00CF4AFE" w:rsidRPr="00CF4AFE" w:rsidRDefault="00CF4AFE" w:rsidP="00F0114D">
            <w:pPr>
              <w:rPr>
                <w:bCs/>
                <w:sz w:val="18"/>
                <w:szCs w:val="18"/>
                <w:lang w:eastAsia="sk-SK"/>
              </w:rPr>
            </w:pPr>
            <w:r w:rsidRPr="00CF4AFE">
              <w:rPr>
                <w:bCs/>
                <w:sz w:val="18"/>
                <w:szCs w:val="18"/>
                <w:lang w:eastAsia="sk-SK"/>
              </w:rPr>
              <w:t>Výdavky na obstaranie DHM</w:t>
            </w:r>
          </w:p>
        </w:tc>
        <w:tc>
          <w:tcPr>
            <w:tcW w:w="1388" w:type="dxa"/>
            <w:tcBorders>
              <w:top w:val="nil"/>
              <w:left w:val="nil"/>
              <w:bottom w:val="nil"/>
              <w:right w:val="nil"/>
            </w:tcBorders>
            <w:shd w:val="clear" w:color="auto" w:fill="auto"/>
            <w:vAlign w:val="bottom"/>
          </w:tcPr>
          <w:p w:rsidR="00CF4AFE" w:rsidRPr="006D4A0A" w:rsidRDefault="00CF4AFE" w:rsidP="006D4A0A">
            <w:pPr>
              <w:jc w:val="right"/>
              <w:rPr>
                <w:color w:val="000000" w:themeColor="text1"/>
                <w:sz w:val="18"/>
                <w:szCs w:val="18"/>
                <w:lang w:eastAsia="sk-SK"/>
              </w:rPr>
            </w:pPr>
            <w:r w:rsidRPr="006D4A0A">
              <w:rPr>
                <w:color w:val="000000" w:themeColor="text1"/>
                <w:sz w:val="18"/>
                <w:szCs w:val="18"/>
                <w:lang w:eastAsia="sk-SK"/>
              </w:rPr>
              <w:t>-</w:t>
            </w:r>
            <w:r w:rsidR="006D4A0A" w:rsidRPr="006D4A0A">
              <w:rPr>
                <w:color w:val="000000" w:themeColor="text1"/>
                <w:sz w:val="18"/>
                <w:szCs w:val="18"/>
                <w:lang w:eastAsia="sk-SK"/>
              </w:rPr>
              <w:t>227 633</w:t>
            </w:r>
          </w:p>
        </w:tc>
        <w:tc>
          <w:tcPr>
            <w:tcW w:w="1336" w:type="dxa"/>
            <w:tcBorders>
              <w:top w:val="nil"/>
              <w:left w:val="nil"/>
              <w:bottom w:val="nil"/>
              <w:right w:val="nil"/>
            </w:tcBorders>
            <w:shd w:val="clear" w:color="000000" w:fill="FFFFFF"/>
            <w:vAlign w:val="bottom"/>
          </w:tcPr>
          <w:p w:rsidR="00CF4AFE" w:rsidRPr="00CF4AFE" w:rsidRDefault="00586677" w:rsidP="00F0114D">
            <w:pPr>
              <w:jc w:val="right"/>
              <w:rPr>
                <w:sz w:val="18"/>
                <w:szCs w:val="18"/>
                <w:lang w:eastAsia="sk-SK"/>
              </w:rPr>
            </w:pPr>
            <w:r>
              <w:rPr>
                <w:sz w:val="18"/>
                <w:szCs w:val="18"/>
                <w:lang w:eastAsia="sk-SK"/>
              </w:rPr>
              <w:t>-114 502</w:t>
            </w:r>
          </w:p>
        </w:tc>
      </w:tr>
      <w:tr w:rsidR="00F0114D" w:rsidRPr="00F0114D" w:rsidTr="00F0114D">
        <w:trPr>
          <w:trHeight w:val="240"/>
        </w:trPr>
        <w:tc>
          <w:tcPr>
            <w:tcW w:w="5996" w:type="dxa"/>
            <w:tcBorders>
              <w:top w:val="nil"/>
              <w:left w:val="nil"/>
              <w:bottom w:val="nil"/>
              <w:right w:val="nil"/>
            </w:tcBorders>
            <w:shd w:val="clear" w:color="auto" w:fill="auto"/>
            <w:vAlign w:val="bottom"/>
            <w:hideMark/>
          </w:tcPr>
          <w:p w:rsidR="00F0114D" w:rsidRPr="00F0114D" w:rsidRDefault="00F0114D" w:rsidP="00F0114D">
            <w:pPr>
              <w:rPr>
                <w:sz w:val="18"/>
                <w:szCs w:val="18"/>
                <w:lang w:eastAsia="sk-SK"/>
              </w:rPr>
            </w:pPr>
            <w:r w:rsidRPr="00F0114D">
              <w:rPr>
                <w:sz w:val="18"/>
                <w:szCs w:val="18"/>
                <w:lang w:eastAsia="sk-SK"/>
              </w:rPr>
              <w:t>Nákup dlhodobého majetku</w:t>
            </w:r>
          </w:p>
        </w:tc>
        <w:tc>
          <w:tcPr>
            <w:tcW w:w="1388" w:type="dxa"/>
            <w:tcBorders>
              <w:top w:val="nil"/>
              <w:left w:val="nil"/>
              <w:bottom w:val="nil"/>
              <w:right w:val="nil"/>
            </w:tcBorders>
            <w:shd w:val="clear" w:color="auto" w:fill="auto"/>
            <w:vAlign w:val="bottom"/>
            <w:hideMark/>
          </w:tcPr>
          <w:p w:rsidR="00F0114D" w:rsidRPr="006D4A0A" w:rsidRDefault="00CF4AFE" w:rsidP="004046CA">
            <w:pPr>
              <w:jc w:val="right"/>
              <w:rPr>
                <w:color w:val="000000" w:themeColor="text1"/>
                <w:sz w:val="18"/>
                <w:szCs w:val="18"/>
                <w:lang w:eastAsia="sk-SK"/>
              </w:rPr>
            </w:pPr>
            <w:r w:rsidRPr="006D4A0A">
              <w:rPr>
                <w:color w:val="000000" w:themeColor="text1"/>
                <w:sz w:val="18"/>
                <w:szCs w:val="18"/>
                <w:lang w:eastAsia="sk-SK"/>
              </w:rPr>
              <w:t>0</w:t>
            </w:r>
          </w:p>
        </w:tc>
        <w:tc>
          <w:tcPr>
            <w:tcW w:w="1336" w:type="dxa"/>
            <w:tcBorders>
              <w:top w:val="nil"/>
              <w:left w:val="nil"/>
              <w:bottom w:val="nil"/>
              <w:right w:val="nil"/>
            </w:tcBorders>
            <w:shd w:val="clear" w:color="000000" w:fill="FFFFFF"/>
            <w:vAlign w:val="bottom"/>
            <w:hideMark/>
          </w:tcPr>
          <w:p w:rsidR="00F0114D" w:rsidRPr="00F0114D" w:rsidRDefault="00586677" w:rsidP="00CF4AFE">
            <w:pPr>
              <w:jc w:val="right"/>
              <w:rPr>
                <w:sz w:val="18"/>
                <w:szCs w:val="18"/>
                <w:lang w:eastAsia="sk-SK"/>
              </w:rPr>
            </w:pPr>
            <w:r>
              <w:rPr>
                <w:sz w:val="18"/>
                <w:szCs w:val="18"/>
                <w:lang w:eastAsia="sk-SK"/>
              </w:rPr>
              <w:t>0</w:t>
            </w:r>
          </w:p>
        </w:tc>
      </w:tr>
      <w:tr w:rsidR="00F0114D" w:rsidRPr="00F0114D" w:rsidTr="00F0114D">
        <w:trPr>
          <w:trHeight w:val="240"/>
        </w:trPr>
        <w:tc>
          <w:tcPr>
            <w:tcW w:w="5996" w:type="dxa"/>
            <w:tcBorders>
              <w:top w:val="nil"/>
              <w:left w:val="nil"/>
              <w:bottom w:val="nil"/>
              <w:right w:val="nil"/>
            </w:tcBorders>
            <w:shd w:val="clear" w:color="auto" w:fill="auto"/>
            <w:vAlign w:val="bottom"/>
            <w:hideMark/>
          </w:tcPr>
          <w:p w:rsidR="00F0114D" w:rsidRPr="00F0114D" w:rsidRDefault="00F0114D" w:rsidP="00F0114D">
            <w:pPr>
              <w:rPr>
                <w:sz w:val="18"/>
                <w:szCs w:val="18"/>
                <w:lang w:eastAsia="sk-SK"/>
              </w:rPr>
            </w:pPr>
            <w:r w:rsidRPr="00F0114D">
              <w:rPr>
                <w:sz w:val="18"/>
                <w:szCs w:val="18"/>
                <w:lang w:eastAsia="sk-SK"/>
              </w:rPr>
              <w:t>Príjmy z predaja dlhodobého majetku</w:t>
            </w:r>
          </w:p>
        </w:tc>
        <w:tc>
          <w:tcPr>
            <w:tcW w:w="1388" w:type="dxa"/>
            <w:tcBorders>
              <w:top w:val="nil"/>
              <w:left w:val="nil"/>
              <w:bottom w:val="nil"/>
              <w:right w:val="nil"/>
            </w:tcBorders>
            <w:shd w:val="clear" w:color="auto" w:fill="auto"/>
            <w:vAlign w:val="bottom"/>
            <w:hideMark/>
          </w:tcPr>
          <w:p w:rsidR="00F0114D" w:rsidRPr="006D4A0A" w:rsidRDefault="00F0114D" w:rsidP="00F0114D">
            <w:pPr>
              <w:jc w:val="right"/>
              <w:rPr>
                <w:color w:val="000000" w:themeColor="text1"/>
                <w:sz w:val="18"/>
                <w:szCs w:val="18"/>
                <w:lang w:eastAsia="sk-SK"/>
              </w:rPr>
            </w:pPr>
            <w:r w:rsidRPr="006D4A0A">
              <w:rPr>
                <w:color w:val="000000" w:themeColor="text1"/>
                <w:sz w:val="18"/>
                <w:szCs w:val="18"/>
                <w:lang w:eastAsia="sk-SK"/>
              </w:rPr>
              <w:t>0</w:t>
            </w:r>
          </w:p>
        </w:tc>
        <w:tc>
          <w:tcPr>
            <w:tcW w:w="1336" w:type="dxa"/>
            <w:tcBorders>
              <w:top w:val="nil"/>
              <w:left w:val="nil"/>
              <w:bottom w:val="nil"/>
              <w:right w:val="nil"/>
            </w:tcBorders>
            <w:shd w:val="clear" w:color="000000" w:fill="FFFFFF"/>
            <w:vAlign w:val="bottom"/>
            <w:hideMark/>
          </w:tcPr>
          <w:p w:rsidR="00F0114D" w:rsidRPr="00F0114D" w:rsidRDefault="00D229F3" w:rsidP="00F0114D">
            <w:pPr>
              <w:jc w:val="right"/>
              <w:rPr>
                <w:sz w:val="18"/>
                <w:szCs w:val="18"/>
                <w:lang w:eastAsia="sk-SK"/>
              </w:rPr>
            </w:pPr>
            <w:r>
              <w:rPr>
                <w:sz w:val="18"/>
                <w:szCs w:val="18"/>
                <w:lang w:eastAsia="sk-SK"/>
              </w:rPr>
              <w:t>0</w:t>
            </w:r>
          </w:p>
        </w:tc>
      </w:tr>
      <w:tr w:rsidR="00F0114D" w:rsidRPr="00F0114D" w:rsidTr="00F0114D">
        <w:trPr>
          <w:trHeight w:val="255"/>
        </w:trPr>
        <w:tc>
          <w:tcPr>
            <w:tcW w:w="5996" w:type="dxa"/>
            <w:tcBorders>
              <w:top w:val="nil"/>
              <w:left w:val="nil"/>
              <w:bottom w:val="nil"/>
              <w:right w:val="nil"/>
            </w:tcBorders>
            <w:shd w:val="clear" w:color="auto" w:fill="auto"/>
            <w:vAlign w:val="bottom"/>
            <w:hideMark/>
          </w:tcPr>
          <w:p w:rsidR="00F0114D" w:rsidRPr="00F0114D" w:rsidRDefault="00F0114D" w:rsidP="00F0114D">
            <w:pPr>
              <w:rPr>
                <w:b/>
                <w:bCs/>
                <w:sz w:val="18"/>
                <w:szCs w:val="18"/>
                <w:lang w:eastAsia="sk-SK"/>
              </w:rPr>
            </w:pPr>
            <w:r w:rsidRPr="00F0114D">
              <w:rPr>
                <w:b/>
                <w:bCs/>
                <w:sz w:val="18"/>
                <w:szCs w:val="18"/>
                <w:lang w:eastAsia="sk-SK"/>
              </w:rPr>
              <w:t>Čisté peňažné toky z investičnej činnosti</w:t>
            </w:r>
          </w:p>
        </w:tc>
        <w:tc>
          <w:tcPr>
            <w:tcW w:w="1388" w:type="dxa"/>
            <w:tcBorders>
              <w:top w:val="single" w:sz="4" w:space="0" w:color="auto"/>
              <w:left w:val="nil"/>
              <w:bottom w:val="double" w:sz="6" w:space="0" w:color="auto"/>
              <w:right w:val="nil"/>
            </w:tcBorders>
            <w:shd w:val="clear" w:color="auto" w:fill="auto"/>
            <w:vAlign w:val="bottom"/>
            <w:hideMark/>
          </w:tcPr>
          <w:p w:rsidR="00F0114D" w:rsidRPr="006D4A0A" w:rsidRDefault="00193C9E" w:rsidP="006D4A0A">
            <w:pPr>
              <w:jc w:val="right"/>
              <w:rPr>
                <w:b/>
                <w:bCs/>
                <w:color w:val="000000" w:themeColor="text1"/>
                <w:sz w:val="18"/>
                <w:szCs w:val="18"/>
                <w:lang w:eastAsia="sk-SK"/>
              </w:rPr>
            </w:pPr>
            <w:r w:rsidRPr="006D4A0A">
              <w:rPr>
                <w:b/>
                <w:bCs/>
                <w:color w:val="000000" w:themeColor="text1"/>
                <w:sz w:val="18"/>
                <w:szCs w:val="18"/>
                <w:lang w:eastAsia="sk-SK"/>
              </w:rPr>
              <w:t>-</w:t>
            </w:r>
            <w:r w:rsidR="006D4A0A" w:rsidRPr="006D4A0A">
              <w:rPr>
                <w:b/>
                <w:bCs/>
                <w:color w:val="000000" w:themeColor="text1"/>
                <w:sz w:val="18"/>
                <w:szCs w:val="18"/>
                <w:lang w:eastAsia="sk-SK"/>
              </w:rPr>
              <w:t>227 633</w:t>
            </w:r>
          </w:p>
        </w:tc>
        <w:tc>
          <w:tcPr>
            <w:tcW w:w="1336" w:type="dxa"/>
            <w:tcBorders>
              <w:top w:val="single" w:sz="4" w:space="0" w:color="auto"/>
              <w:left w:val="nil"/>
              <w:bottom w:val="double" w:sz="6" w:space="0" w:color="auto"/>
              <w:right w:val="nil"/>
            </w:tcBorders>
            <w:shd w:val="clear" w:color="000000" w:fill="FFFFFF"/>
            <w:vAlign w:val="bottom"/>
            <w:hideMark/>
          </w:tcPr>
          <w:p w:rsidR="00F0114D" w:rsidRPr="00F0114D" w:rsidRDefault="00CF4AFE" w:rsidP="00586677">
            <w:pPr>
              <w:jc w:val="right"/>
              <w:rPr>
                <w:b/>
                <w:bCs/>
                <w:color w:val="000000"/>
                <w:sz w:val="18"/>
                <w:szCs w:val="18"/>
                <w:lang w:eastAsia="sk-SK"/>
              </w:rPr>
            </w:pPr>
            <w:r>
              <w:rPr>
                <w:b/>
                <w:bCs/>
                <w:color w:val="000000"/>
                <w:sz w:val="18"/>
                <w:szCs w:val="18"/>
                <w:lang w:eastAsia="sk-SK"/>
              </w:rPr>
              <w:t>-</w:t>
            </w:r>
            <w:r w:rsidR="00586677">
              <w:rPr>
                <w:b/>
                <w:bCs/>
                <w:color w:val="000000"/>
                <w:sz w:val="18"/>
                <w:szCs w:val="18"/>
                <w:lang w:eastAsia="sk-SK"/>
              </w:rPr>
              <w:t>114 502</w:t>
            </w:r>
          </w:p>
        </w:tc>
      </w:tr>
      <w:tr w:rsidR="00F0114D" w:rsidRPr="00F0114D" w:rsidTr="00F0114D">
        <w:trPr>
          <w:trHeight w:val="240"/>
        </w:trPr>
        <w:tc>
          <w:tcPr>
            <w:tcW w:w="5996" w:type="dxa"/>
            <w:tcBorders>
              <w:top w:val="nil"/>
              <w:left w:val="nil"/>
              <w:bottom w:val="nil"/>
              <w:right w:val="nil"/>
            </w:tcBorders>
            <w:shd w:val="clear" w:color="auto" w:fill="auto"/>
            <w:vAlign w:val="bottom"/>
            <w:hideMark/>
          </w:tcPr>
          <w:p w:rsidR="00F0114D" w:rsidRPr="00F0114D" w:rsidRDefault="00F0114D" w:rsidP="00F0114D">
            <w:pPr>
              <w:rPr>
                <w:b/>
                <w:bCs/>
                <w:sz w:val="18"/>
                <w:szCs w:val="18"/>
                <w:lang w:eastAsia="sk-SK"/>
              </w:rPr>
            </w:pPr>
          </w:p>
        </w:tc>
        <w:tc>
          <w:tcPr>
            <w:tcW w:w="1388" w:type="dxa"/>
            <w:tcBorders>
              <w:top w:val="nil"/>
              <w:left w:val="nil"/>
              <w:bottom w:val="nil"/>
              <w:right w:val="nil"/>
            </w:tcBorders>
            <w:shd w:val="clear" w:color="auto" w:fill="auto"/>
            <w:vAlign w:val="bottom"/>
            <w:hideMark/>
          </w:tcPr>
          <w:p w:rsidR="00F0114D" w:rsidRPr="006D4A0A" w:rsidRDefault="00F0114D" w:rsidP="00F0114D">
            <w:pPr>
              <w:jc w:val="right"/>
              <w:rPr>
                <w:color w:val="000000" w:themeColor="text1"/>
                <w:sz w:val="18"/>
                <w:szCs w:val="18"/>
                <w:lang w:eastAsia="sk-SK"/>
              </w:rPr>
            </w:pPr>
          </w:p>
        </w:tc>
        <w:tc>
          <w:tcPr>
            <w:tcW w:w="1336" w:type="dxa"/>
            <w:tcBorders>
              <w:top w:val="nil"/>
              <w:left w:val="nil"/>
              <w:bottom w:val="nil"/>
              <w:right w:val="nil"/>
            </w:tcBorders>
            <w:shd w:val="clear" w:color="000000" w:fill="FFFFFF"/>
            <w:vAlign w:val="bottom"/>
            <w:hideMark/>
          </w:tcPr>
          <w:p w:rsidR="00F0114D" w:rsidRPr="00F0114D" w:rsidRDefault="00F0114D" w:rsidP="00F0114D">
            <w:pPr>
              <w:jc w:val="right"/>
              <w:rPr>
                <w:sz w:val="18"/>
                <w:szCs w:val="18"/>
                <w:lang w:eastAsia="sk-SK"/>
              </w:rPr>
            </w:pPr>
            <w:r w:rsidRPr="00F0114D">
              <w:rPr>
                <w:sz w:val="18"/>
                <w:szCs w:val="18"/>
                <w:lang w:eastAsia="sk-SK"/>
              </w:rPr>
              <w:t> </w:t>
            </w:r>
          </w:p>
        </w:tc>
      </w:tr>
      <w:tr w:rsidR="00F0114D" w:rsidRPr="00F0114D" w:rsidTr="00F0114D">
        <w:trPr>
          <w:trHeight w:val="240"/>
        </w:trPr>
        <w:tc>
          <w:tcPr>
            <w:tcW w:w="5996" w:type="dxa"/>
            <w:tcBorders>
              <w:top w:val="nil"/>
              <w:left w:val="nil"/>
              <w:bottom w:val="nil"/>
              <w:right w:val="nil"/>
            </w:tcBorders>
            <w:shd w:val="clear" w:color="auto" w:fill="auto"/>
            <w:vAlign w:val="bottom"/>
            <w:hideMark/>
          </w:tcPr>
          <w:p w:rsidR="00F0114D" w:rsidRPr="00F0114D" w:rsidRDefault="00F0114D" w:rsidP="00F0114D">
            <w:pPr>
              <w:rPr>
                <w:b/>
                <w:bCs/>
                <w:sz w:val="18"/>
                <w:szCs w:val="18"/>
                <w:lang w:eastAsia="sk-SK"/>
              </w:rPr>
            </w:pPr>
            <w:r w:rsidRPr="00F0114D">
              <w:rPr>
                <w:b/>
                <w:bCs/>
                <w:sz w:val="18"/>
                <w:szCs w:val="18"/>
                <w:lang w:eastAsia="sk-SK"/>
              </w:rPr>
              <w:t>Peňažné toky z finančnej činnosti</w:t>
            </w:r>
          </w:p>
        </w:tc>
        <w:tc>
          <w:tcPr>
            <w:tcW w:w="1388" w:type="dxa"/>
            <w:tcBorders>
              <w:top w:val="nil"/>
              <w:left w:val="nil"/>
              <w:bottom w:val="nil"/>
              <w:right w:val="nil"/>
            </w:tcBorders>
            <w:shd w:val="clear" w:color="auto" w:fill="auto"/>
            <w:vAlign w:val="bottom"/>
            <w:hideMark/>
          </w:tcPr>
          <w:p w:rsidR="00F0114D" w:rsidRPr="006D4A0A" w:rsidRDefault="00F0114D" w:rsidP="00F0114D">
            <w:pPr>
              <w:jc w:val="right"/>
              <w:rPr>
                <w:color w:val="000000" w:themeColor="text1"/>
                <w:sz w:val="18"/>
                <w:szCs w:val="18"/>
                <w:lang w:eastAsia="sk-SK"/>
              </w:rPr>
            </w:pPr>
          </w:p>
        </w:tc>
        <w:tc>
          <w:tcPr>
            <w:tcW w:w="1336" w:type="dxa"/>
            <w:tcBorders>
              <w:top w:val="nil"/>
              <w:left w:val="nil"/>
              <w:bottom w:val="nil"/>
              <w:right w:val="nil"/>
            </w:tcBorders>
            <w:shd w:val="clear" w:color="000000" w:fill="FFFFFF"/>
            <w:vAlign w:val="bottom"/>
            <w:hideMark/>
          </w:tcPr>
          <w:p w:rsidR="00F0114D" w:rsidRPr="00F0114D" w:rsidRDefault="00F0114D" w:rsidP="00F0114D">
            <w:pPr>
              <w:jc w:val="right"/>
              <w:rPr>
                <w:sz w:val="18"/>
                <w:szCs w:val="18"/>
                <w:lang w:eastAsia="sk-SK"/>
              </w:rPr>
            </w:pPr>
            <w:r w:rsidRPr="00F0114D">
              <w:rPr>
                <w:sz w:val="18"/>
                <w:szCs w:val="18"/>
                <w:lang w:eastAsia="sk-SK"/>
              </w:rPr>
              <w:t> </w:t>
            </w:r>
          </w:p>
        </w:tc>
      </w:tr>
      <w:tr w:rsidR="00B55D01" w:rsidRPr="00F0114D" w:rsidTr="00F0114D">
        <w:trPr>
          <w:trHeight w:val="240"/>
        </w:trPr>
        <w:tc>
          <w:tcPr>
            <w:tcW w:w="5996" w:type="dxa"/>
            <w:tcBorders>
              <w:top w:val="nil"/>
              <w:left w:val="nil"/>
              <w:bottom w:val="nil"/>
              <w:right w:val="nil"/>
            </w:tcBorders>
            <w:shd w:val="clear" w:color="auto" w:fill="auto"/>
            <w:vAlign w:val="bottom"/>
          </w:tcPr>
          <w:p w:rsidR="00B55D01" w:rsidRPr="00B55D01" w:rsidRDefault="00B55D01" w:rsidP="00F0114D">
            <w:pPr>
              <w:rPr>
                <w:bCs/>
                <w:sz w:val="18"/>
                <w:szCs w:val="18"/>
                <w:lang w:eastAsia="sk-SK"/>
              </w:rPr>
            </w:pPr>
            <w:r w:rsidRPr="00B55D01">
              <w:rPr>
                <w:bCs/>
                <w:sz w:val="18"/>
                <w:szCs w:val="18"/>
                <w:lang w:eastAsia="sk-SK"/>
              </w:rPr>
              <w:t>Príjmy z úverov</w:t>
            </w:r>
          </w:p>
        </w:tc>
        <w:tc>
          <w:tcPr>
            <w:tcW w:w="1388" w:type="dxa"/>
            <w:tcBorders>
              <w:top w:val="nil"/>
              <w:left w:val="nil"/>
              <w:bottom w:val="nil"/>
              <w:right w:val="nil"/>
            </w:tcBorders>
            <w:shd w:val="clear" w:color="auto" w:fill="auto"/>
            <w:vAlign w:val="bottom"/>
          </w:tcPr>
          <w:p w:rsidR="00B55D01" w:rsidRPr="006D4A0A" w:rsidRDefault="006D4A0A" w:rsidP="00F0114D">
            <w:pPr>
              <w:jc w:val="right"/>
              <w:rPr>
                <w:color w:val="000000" w:themeColor="text1"/>
                <w:sz w:val="18"/>
                <w:szCs w:val="18"/>
                <w:lang w:eastAsia="sk-SK"/>
              </w:rPr>
            </w:pPr>
            <w:r w:rsidRPr="006D4A0A">
              <w:rPr>
                <w:color w:val="000000" w:themeColor="text1"/>
                <w:sz w:val="18"/>
                <w:szCs w:val="18"/>
                <w:lang w:eastAsia="sk-SK"/>
              </w:rPr>
              <w:t xml:space="preserve"> 65 925</w:t>
            </w:r>
          </w:p>
        </w:tc>
        <w:tc>
          <w:tcPr>
            <w:tcW w:w="1336" w:type="dxa"/>
            <w:tcBorders>
              <w:top w:val="nil"/>
              <w:left w:val="nil"/>
              <w:bottom w:val="nil"/>
              <w:right w:val="nil"/>
            </w:tcBorders>
            <w:shd w:val="clear" w:color="000000" w:fill="FFFFFF"/>
            <w:vAlign w:val="bottom"/>
          </w:tcPr>
          <w:p w:rsidR="00B55D01" w:rsidRPr="00F0114D" w:rsidRDefault="00586677" w:rsidP="00F0114D">
            <w:pPr>
              <w:jc w:val="right"/>
              <w:rPr>
                <w:sz w:val="18"/>
                <w:szCs w:val="18"/>
                <w:lang w:eastAsia="sk-SK"/>
              </w:rPr>
            </w:pPr>
            <w:r>
              <w:rPr>
                <w:sz w:val="18"/>
                <w:szCs w:val="18"/>
                <w:lang w:eastAsia="sk-SK"/>
              </w:rPr>
              <w:t>73 500</w:t>
            </w:r>
          </w:p>
        </w:tc>
      </w:tr>
      <w:tr w:rsidR="00B55D01" w:rsidRPr="00F0114D" w:rsidTr="00F0114D">
        <w:trPr>
          <w:trHeight w:val="240"/>
        </w:trPr>
        <w:tc>
          <w:tcPr>
            <w:tcW w:w="5996" w:type="dxa"/>
            <w:tcBorders>
              <w:top w:val="nil"/>
              <w:left w:val="nil"/>
              <w:bottom w:val="nil"/>
              <w:right w:val="nil"/>
            </w:tcBorders>
            <w:shd w:val="clear" w:color="auto" w:fill="auto"/>
            <w:vAlign w:val="bottom"/>
          </w:tcPr>
          <w:p w:rsidR="00B55D01" w:rsidRPr="00B55D01" w:rsidRDefault="00B55D01" w:rsidP="00F0114D">
            <w:pPr>
              <w:rPr>
                <w:bCs/>
                <w:sz w:val="18"/>
                <w:szCs w:val="18"/>
                <w:lang w:eastAsia="sk-SK"/>
              </w:rPr>
            </w:pPr>
            <w:r w:rsidRPr="00B55D01">
              <w:rPr>
                <w:bCs/>
                <w:sz w:val="18"/>
                <w:szCs w:val="18"/>
                <w:lang w:eastAsia="sk-SK"/>
              </w:rPr>
              <w:t>Výdavky na splácanie úverov</w:t>
            </w:r>
          </w:p>
        </w:tc>
        <w:tc>
          <w:tcPr>
            <w:tcW w:w="1388" w:type="dxa"/>
            <w:tcBorders>
              <w:top w:val="nil"/>
              <w:left w:val="nil"/>
              <w:bottom w:val="nil"/>
              <w:right w:val="nil"/>
            </w:tcBorders>
            <w:shd w:val="clear" w:color="auto" w:fill="auto"/>
            <w:vAlign w:val="bottom"/>
          </w:tcPr>
          <w:p w:rsidR="00B55D01" w:rsidRPr="006D4A0A" w:rsidRDefault="006D4A0A" w:rsidP="006D4A0A">
            <w:pPr>
              <w:jc w:val="center"/>
              <w:rPr>
                <w:color w:val="000000" w:themeColor="text1"/>
                <w:sz w:val="18"/>
                <w:szCs w:val="18"/>
                <w:lang w:eastAsia="sk-SK"/>
              </w:rPr>
            </w:pPr>
            <w:r w:rsidRPr="006D4A0A">
              <w:rPr>
                <w:color w:val="000000" w:themeColor="text1"/>
                <w:sz w:val="18"/>
                <w:szCs w:val="18"/>
                <w:lang w:eastAsia="sk-SK"/>
              </w:rPr>
              <w:t xml:space="preserve">                20 482</w:t>
            </w:r>
          </w:p>
        </w:tc>
        <w:tc>
          <w:tcPr>
            <w:tcW w:w="1336" w:type="dxa"/>
            <w:tcBorders>
              <w:top w:val="nil"/>
              <w:left w:val="nil"/>
              <w:bottom w:val="nil"/>
              <w:right w:val="nil"/>
            </w:tcBorders>
            <w:shd w:val="clear" w:color="000000" w:fill="FFFFFF"/>
            <w:vAlign w:val="bottom"/>
          </w:tcPr>
          <w:p w:rsidR="00B55D01" w:rsidRDefault="00586677" w:rsidP="00F0114D">
            <w:pPr>
              <w:jc w:val="right"/>
              <w:rPr>
                <w:sz w:val="18"/>
                <w:szCs w:val="18"/>
                <w:lang w:eastAsia="sk-SK"/>
              </w:rPr>
            </w:pPr>
            <w:r>
              <w:rPr>
                <w:sz w:val="18"/>
                <w:szCs w:val="18"/>
                <w:lang w:eastAsia="sk-SK"/>
              </w:rPr>
              <w:t>-7 575</w:t>
            </w:r>
          </w:p>
        </w:tc>
      </w:tr>
      <w:tr w:rsidR="00F0114D" w:rsidRPr="00F0114D" w:rsidTr="00F0114D">
        <w:trPr>
          <w:trHeight w:val="255"/>
        </w:trPr>
        <w:tc>
          <w:tcPr>
            <w:tcW w:w="5996" w:type="dxa"/>
            <w:tcBorders>
              <w:top w:val="nil"/>
              <w:left w:val="nil"/>
              <w:bottom w:val="nil"/>
              <w:right w:val="nil"/>
            </w:tcBorders>
            <w:shd w:val="clear" w:color="auto" w:fill="auto"/>
            <w:vAlign w:val="bottom"/>
            <w:hideMark/>
          </w:tcPr>
          <w:p w:rsidR="00F0114D" w:rsidRPr="00F0114D" w:rsidRDefault="00F0114D" w:rsidP="00F0114D">
            <w:pPr>
              <w:rPr>
                <w:b/>
                <w:bCs/>
                <w:sz w:val="18"/>
                <w:szCs w:val="18"/>
                <w:lang w:eastAsia="sk-SK"/>
              </w:rPr>
            </w:pPr>
            <w:r w:rsidRPr="00F0114D">
              <w:rPr>
                <w:b/>
                <w:bCs/>
                <w:sz w:val="18"/>
                <w:szCs w:val="18"/>
                <w:lang w:eastAsia="sk-SK"/>
              </w:rPr>
              <w:t>Čisté peňažné toky z finančnej činnosti</w:t>
            </w:r>
          </w:p>
        </w:tc>
        <w:tc>
          <w:tcPr>
            <w:tcW w:w="1388" w:type="dxa"/>
            <w:tcBorders>
              <w:top w:val="single" w:sz="4" w:space="0" w:color="auto"/>
              <w:left w:val="nil"/>
              <w:bottom w:val="double" w:sz="6" w:space="0" w:color="auto"/>
              <w:right w:val="nil"/>
            </w:tcBorders>
            <w:shd w:val="clear" w:color="auto" w:fill="auto"/>
            <w:vAlign w:val="bottom"/>
            <w:hideMark/>
          </w:tcPr>
          <w:p w:rsidR="00F0114D" w:rsidRPr="006D4A0A" w:rsidRDefault="006D4A0A" w:rsidP="00F0114D">
            <w:pPr>
              <w:jc w:val="right"/>
              <w:rPr>
                <w:b/>
                <w:bCs/>
                <w:color w:val="000000" w:themeColor="text1"/>
                <w:sz w:val="18"/>
                <w:szCs w:val="18"/>
                <w:lang w:eastAsia="sk-SK"/>
              </w:rPr>
            </w:pPr>
            <w:r w:rsidRPr="006D4A0A">
              <w:rPr>
                <w:b/>
                <w:bCs/>
                <w:color w:val="000000" w:themeColor="text1"/>
                <w:sz w:val="18"/>
                <w:szCs w:val="18"/>
                <w:lang w:eastAsia="sk-SK"/>
              </w:rPr>
              <w:t>86 407</w:t>
            </w:r>
          </w:p>
        </w:tc>
        <w:tc>
          <w:tcPr>
            <w:tcW w:w="1336" w:type="dxa"/>
            <w:tcBorders>
              <w:top w:val="single" w:sz="4" w:space="0" w:color="auto"/>
              <w:left w:val="nil"/>
              <w:bottom w:val="double" w:sz="6" w:space="0" w:color="auto"/>
              <w:right w:val="nil"/>
            </w:tcBorders>
            <w:shd w:val="clear" w:color="000000" w:fill="FFFFFF"/>
            <w:vAlign w:val="bottom"/>
            <w:hideMark/>
          </w:tcPr>
          <w:p w:rsidR="00F0114D" w:rsidRPr="00F0114D" w:rsidRDefault="00586677" w:rsidP="00F0114D">
            <w:pPr>
              <w:jc w:val="right"/>
              <w:rPr>
                <w:b/>
                <w:bCs/>
                <w:color w:val="000000"/>
                <w:sz w:val="18"/>
                <w:szCs w:val="18"/>
                <w:lang w:eastAsia="sk-SK"/>
              </w:rPr>
            </w:pPr>
            <w:r>
              <w:rPr>
                <w:b/>
                <w:bCs/>
                <w:color w:val="000000"/>
                <w:sz w:val="18"/>
                <w:szCs w:val="18"/>
                <w:lang w:eastAsia="sk-SK"/>
              </w:rPr>
              <w:t>65 925</w:t>
            </w:r>
          </w:p>
        </w:tc>
      </w:tr>
      <w:tr w:rsidR="00F0114D" w:rsidRPr="00F0114D" w:rsidTr="00F0114D">
        <w:trPr>
          <w:trHeight w:val="255"/>
        </w:trPr>
        <w:tc>
          <w:tcPr>
            <w:tcW w:w="5996" w:type="dxa"/>
            <w:tcBorders>
              <w:top w:val="nil"/>
              <w:left w:val="nil"/>
              <w:bottom w:val="nil"/>
              <w:right w:val="nil"/>
            </w:tcBorders>
            <w:shd w:val="clear" w:color="auto" w:fill="auto"/>
            <w:vAlign w:val="bottom"/>
            <w:hideMark/>
          </w:tcPr>
          <w:p w:rsidR="00F0114D" w:rsidRPr="00F0114D" w:rsidRDefault="00F0114D" w:rsidP="00F0114D">
            <w:pPr>
              <w:rPr>
                <w:b/>
                <w:bCs/>
                <w:sz w:val="18"/>
                <w:szCs w:val="18"/>
                <w:lang w:eastAsia="sk-SK"/>
              </w:rPr>
            </w:pPr>
          </w:p>
        </w:tc>
        <w:tc>
          <w:tcPr>
            <w:tcW w:w="1388" w:type="dxa"/>
            <w:tcBorders>
              <w:top w:val="nil"/>
              <w:left w:val="nil"/>
              <w:bottom w:val="nil"/>
              <w:right w:val="nil"/>
            </w:tcBorders>
            <w:shd w:val="clear" w:color="auto" w:fill="auto"/>
            <w:vAlign w:val="bottom"/>
            <w:hideMark/>
          </w:tcPr>
          <w:p w:rsidR="00F0114D" w:rsidRPr="006D4A0A" w:rsidRDefault="00F0114D" w:rsidP="00F0114D">
            <w:pPr>
              <w:jc w:val="right"/>
              <w:rPr>
                <w:color w:val="000000" w:themeColor="text1"/>
                <w:sz w:val="18"/>
                <w:szCs w:val="18"/>
                <w:lang w:eastAsia="sk-SK"/>
              </w:rPr>
            </w:pPr>
          </w:p>
        </w:tc>
        <w:tc>
          <w:tcPr>
            <w:tcW w:w="1336" w:type="dxa"/>
            <w:tcBorders>
              <w:top w:val="nil"/>
              <w:left w:val="nil"/>
              <w:bottom w:val="nil"/>
              <w:right w:val="nil"/>
            </w:tcBorders>
            <w:shd w:val="clear" w:color="000000" w:fill="FFFFFF"/>
            <w:vAlign w:val="bottom"/>
            <w:hideMark/>
          </w:tcPr>
          <w:p w:rsidR="00F0114D" w:rsidRPr="00F0114D" w:rsidRDefault="00F0114D" w:rsidP="00F0114D">
            <w:pPr>
              <w:jc w:val="right"/>
              <w:rPr>
                <w:sz w:val="18"/>
                <w:szCs w:val="18"/>
                <w:lang w:eastAsia="sk-SK"/>
              </w:rPr>
            </w:pPr>
            <w:r w:rsidRPr="00F0114D">
              <w:rPr>
                <w:sz w:val="18"/>
                <w:szCs w:val="18"/>
                <w:lang w:eastAsia="sk-SK"/>
              </w:rPr>
              <w:t> </w:t>
            </w:r>
          </w:p>
        </w:tc>
      </w:tr>
      <w:tr w:rsidR="00F0114D" w:rsidRPr="00F0114D" w:rsidTr="00F0114D">
        <w:trPr>
          <w:trHeight w:val="240"/>
        </w:trPr>
        <w:tc>
          <w:tcPr>
            <w:tcW w:w="5996" w:type="dxa"/>
            <w:tcBorders>
              <w:top w:val="nil"/>
              <w:left w:val="nil"/>
              <w:bottom w:val="nil"/>
              <w:right w:val="nil"/>
            </w:tcBorders>
            <w:shd w:val="clear" w:color="auto" w:fill="auto"/>
            <w:vAlign w:val="bottom"/>
            <w:hideMark/>
          </w:tcPr>
          <w:p w:rsidR="00F0114D" w:rsidRPr="00F0114D" w:rsidRDefault="00F0114D" w:rsidP="00F0114D">
            <w:pPr>
              <w:rPr>
                <w:b/>
                <w:bCs/>
                <w:sz w:val="18"/>
                <w:szCs w:val="18"/>
                <w:lang w:eastAsia="sk-SK"/>
              </w:rPr>
            </w:pPr>
            <w:r w:rsidRPr="00F0114D">
              <w:rPr>
                <w:b/>
                <w:bCs/>
                <w:sz w:val="18"/>
                <w:szCs w:val="18"/>
                <w:lang w:eastAsia="sk-SK"/>
              </w:rPr>
              <w:t>Prírastky (úbytky) peňažných prostriedkov a peňažných ekvivalentov</w:t>
            </w:r>
          </w:p>
        </w:tc>
        <w:tc>
          <w:tcPr>
            <w:tcW w:w="1388" w:type="dxa"/>
            <w:tcBorders>
              <w:top w:val="nil"/>
              <w:left w:val="nil"/>
              <w:bottom w:val="nil"/>
              <w:right w:val="nil"/>
            </w:tcBorders>
            <w:shd w:val="clear" w:color="auto" w:fill="auto"/>
            <w:vAlign w:val="bottom"/>
            <w:hideMark/>
          </w:tcPr>
          <w:p w:rsidR="00F0114D" w:rsidRPr="006D4A0A" w:rsidRDefault="006D4A0A" w:rsidP="006D4A0A">
            <w:pPr>
              <w:jc w:val="right"/>
              <w:rPr>
                <w:b/>
                <w:bCs/>
                <w:color w:val="000000" w:themeColor="text1"/>
                <w:sz w:val="18"/>
                <w:szCs w:val="18"/>
                <w:lang w:eastAsia="sk-SK"/>
              </w:rPr>
            </w:pPr>
            <w:r w:rsidRPr="006D4A0A">
              <w:rPr>
                <w:b/>
                <w:bCs/>
                <w:color w:val="000000" w:themeColor="text1"/>
                <w:sz w:val="18"/>
                <w:szCs w:val="18"/>
                <w:lang w:eastAsia="sk-SK"/>
              </w:rPr>
              <w:t>32 81</w:t>
            </w:r>
            <w:r>
              <w:rPr>
                <w:b/>
                <w:bCs/>
                <w:color w:val="000000" w:themeColor="text1"/>
                <w:sz w:val="18"/>
                <w:szCs w:val="18"/>
                <w:lang w:eastAsia="sk-SK"/>
              </w:rPr>
              <w:t>8</w:t>
            </w:r>
          </w:p>
        </w:tc>
        <w:tc>
          <w:tcPr>
            <w:tcW w:w="1336" w:type="dxa"/>
            <w:tcBorders>
              <w:top w:val="nil"/>
              <w:left w:val="nil"/>
              <w:bottom w:val="nil"/>
              <w:right w:val="nil"/>
            </w:tcBorders>
            <w:shd w:val="clear" w:color="000000" w:fill="FFFFFF"/>
            <w:vAlign w:val="bottom"/>
            <w:hideMark/>
          </w:tcPr>
          <w:p w:rsidR="00F0114D" w:rsidRPr="00F0114D" w:rsidRDefault="00F0114D" w:rsidP="00586677">
            <w:pPr>
              <w:jc w:val="right"/>
              <w:rPr>
                <w:b/>
                <w:bCs/>
                <w:color w:val="000000"/>
                <w:sz w:val="18"/>
                <w:szCs w:val="18"/>
                <w:lang w:eastAsia="sk-SK"/>
              </w:rPr>
            </w:pPr>
            <w:r w:rsidRPr="00F0114D">
              <w:rPr>
                <w:b/>
                <w:bCs/>
                <w:color w:val="000000"/>
                <w:sz w:val="18"/>
                <w:szCs w:val="18"/>
                <w:lang w:eastAsia="sk-SK"/>
              </w:rPr>
              <w:t>-</w:t>
            </w:r>
            <w:r w:rsidR="00586677">
              <w:rPr>
                <w:b/>
                <w:bCs/>
                <w:color w:val="000000"/>
                <w:sz w:val="18"/>
                <w:szCs w:val="18"/>
                <w:lang w:eastAsia="sk-SK"/>
              </w:rPr>
              <w:t>132 786</w:t>
            </w:r>
          </w:p>
        </w:tc>
      </w:tr>
      <w:tr w:rsidR="00F0114D" w:rsidRPr="00F0114D" w:rsidTr="00F0114D">
        <w:trPr>
          <w:trHeight w:val="240"/>
        </w:trPr>
        <w:tc>
          <w:tcPr>
            <w:tcW w:w="5996" w:type="dxa"/>
            <w:tcBorders>
              <w:top w:val="nil"/>
              <w:left w:val="nil"/>
              <w:bottom w:val="nil"/>
              <w:right w:val="nil"/>
            </w:tcBorders>
            <w:shd w:val="clear" w:color="auto" w:fill="auto"/>
            <w:vAlign w:val="bottom"/>
            <w:hideMark/>
          </w:tcPr>
          <w:p w:rsidR="00F0114D" w:rsidRPr="00F0114D" w:rsidRDefault="00F0114D" w:rsidP="00F0114D">
            <w:pPr>
              <w:rPr>
                <w:sz w:val="18"/>
                <w:szCs w:val="18"/>
                <w:lang w:eastAsia="sk-SK"/>
              </w:rPr>
            </w:pPr>
          </w:p>
        </w:tc>
        <w:tc>
          <w:tcPr>
            <w:tcW w:w="1388" w:type="dxa"/>
            <w:tcBorders>
              <w:top w:val="nil"/>
              <w:left w:val="nil"/>
              <w:bottom w:val="nil"/>
              <w:right w:val="nil"/>
            </w:tcBorders>
            <w:shd w:val="clear" w:color="auto" w:fill="auto"/>
            <w:vAlign w:val="bottom"/>
            <w:hideMark/>
          </w:tcPr>
          <w:p w:rsidR="00F0114D" w:rsidRPr="006D4A0A" w:rsidRDefault="00F0114D" w:rsidP="00F0114D">
            <w:pPr>
              <w:jc w:val="right"/>
              <w:rPr>
                <w:color w:val="000000" w:themeColor="text1"/>
                <w:sz w:val="18"/>
                <w:szCs w:val="18"/>
                <w:lang w:eastAsia="sk-SK"/>
              </w:rPr>
            </w:pPr>
          </w:p>
        </w:tc>
        <w:tc>
          <w:tcPr>
            <w:tcW w:w="1336" w:type="dxa"/>
            <w:tcBorders>
              <w:top w:val="nil"/>
              <w:left w:val="nil"/>
              <w:bottom w:val="nil"/>
              <w:right w:val="nil"/>
            </w:tcBorders>
            <w:shd w:val="clear" w:color="000000" w:fill="FFFFFF"/>
            <w:vAlign w:val="bottom"/>
            <w:hideMark/>
          </w:tcPr>
          <w:p w:rsidR="00F0114D" w:rsidRPr="00F0114D" w:rsidRDefault="00F0114D" w:rsidP="00F0114D">
            <w:pPr>
              <w:jc w:val="right"/>
              <w:rPr>
                <w:color w:val="000000"/>
                <w:sz w:val="18"/>
                <w:szCs w:val="18"/>
                <w:lang w:eastAsia="sk-SK"/>
              </w:rPr>
            </w:pPr>
            <w:r w:rsidRPr="00F0114D">
              <w:rPr>
                <w:color w:val="000000"/>
                <w:sz w:val="18"/>
                <w:szCs w:val="18"/>
                <w:lang w:eastAsia="sk-SK"/>
              </w:rPr>
              <w:t> </w:t>
            </w:r>
          </w:p>
        </w:tc>
      </w:tr>
      <w:tr w:rsidR="00F0114D" w:rsidRPr="00F0114D" w:rsidTr="00F0114D">
        <w:trPr>
          <w:trHeight w:val="240"/>
        </w:trPr>
        <w:tc>
          <w:tcPr>
            <w:tcW w:w="5996" w:type="dxa"/>
            <w:tcBorders>
              <w:top w:val="nil"/>
              <w:left w:val="nil"/>
              <w:bottom w:val="nil"/>
              <w:right w:val="nil"/>
            </w:tcBorders>
            <w:shd w:val="clear" w:color="auto" w:fill="auto"/>
            <w:vAlign w:val="bottom"/>
            <w:hideMark/>
          </w:tcPr>
          <w:p w:rsidR="00F0114D" w:rsidRPr="00F0114D" w:rsidRDefault="00B55D01" w:rsidP="00F0114D">
            <w:pPr>
              <w:rPr>
                <w:sz w:val="18"/>
                <w:szCs w:val="18"/>
                <w:lang w:eastAsia="sk-SK"/>
              </w:rPr>
            </w:pPr>
            <w:r>
              <w:rPr>
                <w:sz w:val="18"/>
                <w:szCs w:val="18"/>
                <w:lang w:eastAsia="sk-SK"/>
              </w:rPr>
              <w:t>Peňažné</w:t>
            </w:r>
            <w:r w:rsidR="00F0114D" w:rsidRPr="00F0114D">
              <w:rPr>
                <w:sz w:val="18"/>
                <w:szCs w:val="18"/>
                <w:lang w:eastAsia="sk-SK"/>
              </w:rPr>
              <w:t xml:space="preserve"> prostriedky a peňažné ekvivalenty na začiatku roka</w:t>
            </w:r>
          </w:p>
        </w:tc>
        <w:tc>
          <w:tcPr>
            <w:tcW w:w="1388" w:type="dxa"/>
            <w:tcBorders>
              <w:top w:val="nil"/>
              <w:left w:val="nil"/>
              <w:bottom w:val="nil"/>
              <w:right w:val="nil"/>
            </w:tcBorders>
            <w:shd w:val="clear" w:color="auto" w:fill="auto"/>
            <w:vAlign w:val="bottom"/>
            <w:hideMark/>
          </w:tcPr>
          <w:p w:rsidR="00F0114D" w:rsidRPr="006D4A0A" w:rsidRDefault="00586677" w:rsidP="006D4A0A">
            <w:pPr>
              <w:jc w:val="right"/>
              <w:rPr>
                <w:color w:val="000000" w:themeColor="text1"/>
                <w:sz w:val="18"/>
                <w:szCs w:val="18"/>
                <w:lang w:eastAsia="sk-SK"/>
              </w:rPr>
            </w:pPr>
            <w:r w:rsidRPr="006D4A0A">
              <w:rPr>
                <w:color w:val="000000" w:themeColor="text1"/>
                <w:sz w:val="18"/>
                <w:szCs w:val="18"/>
                <w:lang w:eastAsia="sk-SK"/>
              </w:rPr>
              <w:t>268 44</w:t>
            </w:r>
            <w:r w:rsidR="006D4A0A">
              <w:rPr>
                <w:color w:val="000000" w:themeColor="text1"/>
                <w:sz w:val="18"/>
                <w:szCs w:val="18"/>
                <w:lang w:eastAsia="sk-SK"/>
              </w:rPr>
              <w:t>8</w:t>
            </w:r>
          </w:p>
        </w:tc>
        <w:tc>
          <w:tcPr>
            <w:tcW w:w="1336" w:type="dxa"/>
            <w:tcBorders>
              <w:top w:val="nil"/>
              <w:left w:val="nil"/>
              <w:bottom w:val="nil"/>
              <w:right w:val="nil"/>
            </w:tcBorders>
            <w:shd w:val="clear" w:color="000000" w:fill="FFFFFF"/>
            <w:vAlign w:val="bottom"/>
            <w:hideMark/>
          </w:tcPr>
          <w:p w:rsidR="00F0114D" w:rsidRPr="00F0114D" w:rsidRDefault="00586677" w:rsidP="00F0114D">
            <w:pPr>
              <w:jc w:val="right"/>
              <w:rPr>
                <w:sz w:val="18"/>
                <w:szCs w:val="18"/>
                <w:lang w:eastAsia="sk-SK"/>
              </w:rPr>
            </w:pPr>
            <w:r>
              <w:rPr>
                <w:sz w:val="18"/>
                <w:szCs w:val="18"/>
                <w:lang w:eastAsia="sk-SK"/>
              </w:rPr>
              <w:t>401 227</w:t>
            </w:r>
          </w:p>
        </w:tc>
      </w:tr>
      <w:tr w:rsidR="00B55D01" w:rsidRPr="00F0114D" w:rsidTr="00F0114D">
        <w:trPr>
          <w:trHeight w:val="240"/>
        </w:trPr>
        <w:tc>
          <w:tcPr>
            <w:tcW w:w="5996" w:type="dxa"/>
            <w:tcBorders>
              <w:top w:val="nil"/>
              <w:left w:val="nil"/>
              <w:bottom w:val="nil"/>
              <w:right w:val="nil"/>
            </w:tcBorders>
            <w:shd w:val="clear" w:color="auto" w:fill="auto"/>
            <w:vAlign w:val="bottom"/>
          </w:tcPr>
          <w:p w:rsidR="00B55D01" w:rsidRPr="00F0114D" w:rsidRDefault="00B55D01" w:rsidP="00F0114D">
            <w:pPr>
              <w:rPr>
                <w:sz w:val="18"/>
                <w:szCs w:val="18"/>
                <w:lang w:eastAsia="sk-SK"/>
              </w:rPr>
            </w:pPr>
            <w:r>
              <w:rPr>
                <w:sz w:val="18"/>
                <w:szCs w:val="18"/>
                <w:lang w:eastAsia="sk-SK"/>
              </w:rPr>
              <w:t xml:space="preserve">Kurzové rozdiely ku dňu zostavenia </w:t>
            </w:r>
            <w:proofErr w:type="spellStart"/>
            <w:r>
              <w:rPr>
                <w:sz w:val="18"/>
                <w:szCs w:val="18"/>
                <w:lang w:eastAsia="sk-SK"/>
              </w:rPr>
              <w:t>účt.závierky</w:t>
            </w:r>
            <w:proofErr w:type="spellEnd"/>
          </w:p>
        </w:tc>
        <w:tc>
          <w:tcPr>
            <w:tcW w:w="1388" w:type="dxa"/>
            <w:tcBorders>
              <w:top w:val="nil"/>
              <w:left w:val="nil"/>
              <w:bottom w:val="nil"/>
              <w:right w:val="nil"/>
            </w:tcBorders>
            <w:shd w:val="clear" w:color="auto" w:fill="auto"/>
            <w:vAlign w:val="bottom"/>
          </w:tcPr>
          <w:p w:rsidR="00B55D01" w:rsidRPr="006D4A0A" w:rsidRDefault="00586677" w:rsidP="00586677">
            <w:pPr>
              <w:jc w:val="right"/>
              <w:rPr>
                <w:color w:val="000000" w:themeColor="text1"/>
                <w:sz w:val="18"/>
                <w:szCs w:val="18"/>
                <w:lang w:eastAsia="sk-SK"/>
              </w:rPr>
            </w:pPr>
            <w:r w:rsidRPr="006D4A0A">
              <w:rPr>
                <w:color w:val="000000" w:themeColor="text1"/>
                <w:sz w:val="18"/>
                <w:szCs w:val="18"/>
                <w:lang w:eastAsia="sk-SK"/>
              </w:rPr>
              <w:t>0</w:t>
            </w:r>
          </w:p>
        </w:tc>
        <w:tc>
          <w:tcPr>
            <w:tcW w:w="1336" w:type="dxa"/>
            <w:tcBorders>
              <w:top w:val="nil"/>
              <w:left w:val="nil"/>
              <w:bottom w:val="nil"/>
              <w:right w:val="nil"/>
            </w:tcBorders>
            <w:shd w:val="clear" w:color="000000" w:fill="FFFFFF"/>
            <w:vAlign w:val="bottom"/>
          </w:tcPr>
          <w:p w:rsidR="00B55D01" w:rsidRDefault="00586677" w:rsidP="00F0114D">
            <w:pPr>
              <w:jc w:val="right"/>
              <w:rPr>
                <w:sz w:val="18"/>
                <w:szCs w:val="18"/>
                <w:lang w:eastAsia="sk-SK"/>
              </w:rPr>
            </w:pPr>
            <w:r>
              <w:rPr>
                <w:sz w:val="18"/>
                <w:szCs w:val="18"/>
                <w:lang w:eastAsia="sk-SK"/>
              </w:rPr>
              <w:t>7</w:t>
            </w:r>
          </w:p>
        </w:tc>
      </w:tr>
      <w:tr w:rsidR="00F0114D" w:rsidRPr="00BE742A" w:rsidTr="00F0114D">
        <w:trPr>
          <w:trHeight w:val="255"/>
        </w:trPr>
        <w:tc>
          <w:tcPr>
            <w:tcW w:w="5996" w:type="dxa"/>
            <w:tcBorders>
              <w:top w:val="nil"/>
              <w:left w:val="nil"/>
              <w:bottom w:val="nil"/>
              <w:right w:val="nil"/>
            </w:tcBorders>
            <w:shd w:val="clear" w:color="auto" w:fill="auto"/>
            <w:vAlign w:val="bottom"/>
            <w:hideMark/>
          </w:tcPr>
          <w:p w:rsidR="00F0114D" w:rsidRPr="00BE742A" w:rsidRDefault="00F0114D" w:rsidP="00F0114D">
            <w:pPr>
              <w:rPr>
                <w:b/>
                <w:bCs/>
                <w:sz w:val="18"/>
                <w:szCs w:val="18"/>
                <w:lang w:eastAsia="sk-SK"/>
              </w:rPr>
            </w:pPr>
            <w:r w:rsidRPr="00BE742A">
              <w:rPr>
                <w:b/>
                <w:bCs/>
                <w:sz w:val="18"/>
                <w:szCs w:val="18"/>
                <w:lang w:eastAsia="sk-SK"/>
              </w:rPr>
              <w:t>Peňažné prostriedky a peňažné ekvivalenty na konci roka</w:t>
            </w:r>
          </w:p>
        </w:tc>
        <w:tc>
          <w:tcPr>
            <w:tcW w:w="1388" w:type="dxa"/>
            <w:tcBorders>
              <w:top w:val="single" w:sz="4" w:space="0" w:color="auto"/>
              <w:left w:val="nil"/>
              <w:bottom w:val="double" w:sz="6" w:space="0" w:color="auto"/>
              <w:right w:val="nil"/>
            </w:tcBorders>
            <w:shd w:val="clear" w:color="auto" w:fill="auto"/>
            <w:vAlign w:val="bottom"/>
            <w:hideMark/>
          </w:tcPr>
          <w:p w:rsidR="00F0114D" w:rsidRPr="006D4A0A" w:rsidRDefault="006D4A0A" w:rsidP="00F0114D">
            <w:pPr>
              <w:jc w:val="right"/>
              <w:rPr>
                <w:b/>
                <w:bCs/>
                <w:color w:val="000000" w:themeColor="text1"/>
                <w:sz w:val="18"/>
                <w:szCs w:val="18"/>
                <w:lang w:eastAsia="sk-SK"/>
              </w:rPr>
            </w:pPr>
            <w:r w:rsidRPr="006D4A0A">
              <w:rPr>
                <w:b/>
                <w:bCs/>
                <w:color w:val="000000" w:themeColor="text1"/>
                <w:sz w:val="18"/>
                <w:szCs w:val="18"/>
                <w:lang w:eastAsia="sk-SK"/>
              </w:rPr>
              <w:t>301 266</w:t>
            </w:r>
          </w:p>
        </w:tc>
        <w:tc>
          <w:tcPr>
            <w:tcW w:w="1336" w:type="dxa"/>
            <w:tcBorders>
              <w:top w:val="single" w:sz="4" w:space="0" w:color="auto"/>
              <w:left w:val="nil"/>
              <w:bottom w:val="double" w:sz="6" w:space="0" w:color="auto"/>
              <w:right w:val="nil"/>
            </w:tcBorders>
            <w:shd w:val="clear" w:color="000000" w:fill="FFFFFF"/>
            <w:vAlign w:val="bottom"/>
            <w:hideMark/>
          </w:tcPr>
          <w:p w:rsidR="00F0114D" w:rsidRPr="00BE742A" w:rsidRDefault="00586677" w:rsidP="00F0114D">
            <w:pPr>
              <w:jc w:val="right"/>
              <w:rPr>
                <w:b/>
                <w:bCs/>
                <w:color w:val="000000"/>
                <w:sz w:val="18"/>
                <w:szCs w:val="18"/>
                <w:lang w:eastAsia="sk-SK"/>
              </w:rPr>
            </w:pPr>
            <w:r>
              <w:rPr>
                <w:b/>
                <w:bCs/>
                <w:color w:val="000000"/>
                <w:sz w:val="18"/>
                <w:szCs w:val="18"/>
                <w:lang w:eastAsia="sk-SK"/>
              </w:rPr>
              <w:t>268 448</w:t>
            </w:r>
          </w:p>
        </w:tc>
      </w:tr>
    </w:tbl>
    <w:bookmarkEnd w:id="78"/>
    <w:p w:rsidR="008339A2" w:rsidRDefault="008339A2" w:rsidP="00014743">
      <w:pPr>
        <w:pStyle w:val="Zkladntext"/>
        <w:ind w:left="0"/>
        <w:rPr>
          <w:b/>
        </w:rPr>
      </w:pPr>
      <w:r>
        <w:rPr>
          <w:b/>
        </w:rPr>
        <w:lastRenderedPageBreak/>
        <w:t>Peňažné prostriedky</w:t>
      </w:r>
    </w:p>
    <w:p w:rsidR="00014743" w:rsidRDefault="00014743" w:rsidP="00014743">
      <w:pPr>
        <w:pStyle w:val="Zkladntext"/>
        <w:ind w:left="0"/>
        <w:rPr>
          <w:b/>
        </w:rPr>
      </w:pPr>
    </w:p>
    <w:p w:rsidR="008339A2" w:rsidRDefault="008339A2" w:rsidP="00014743">
      <w:pPr>
        <w:pStyle w:val="Zkladntext"/>
        <w:ind w:left="0"/>
      </w:pPr>
      <w:r>
        <w:t xml:space="preserve">Peňažnými prostriedkami (angl. cash) sa rozumejú peňažné hotovosti, ekvivalenty peňažných hotovostí, peňažné prostriedky na bežných účtoch v bankách, kontokorentný účet a časť zostatku účtu Peniaze na ceste, ktorý sa viaže na prevod medzi bežným účtom a pokladnicou alebo medzi dvoma bankovými účtami. </w:t>
      </w:r>
    </w:p>
    <w:p w:rsidR="00014743" w:rsidRDefault="00014743" w:rsidP="00014743">
      <w:pPr>
        <w:pStyle w:val="Zkladntext"/>
        <w:ind w:left="0"/>
      </w:pPr>
    </w:p>
    <w:p w:rsidR="008339A2" w:rsidRDefault="008339A2" w:rsidP="00014743">
      <w:pPr>
        <w:pStyle w:val="Zkladntext"/>
        <w:ind w:left="0"/>
        <w:rPr>
          <w:b/>
        </w:rPr>
      </w:pPr>
      <w:r>
        <w:rPr>
          <w:b/>
        </w:rPr>
        <w:t>Ekvivalenty peňažných prostriedkov</w:t>
      </w:r>
    </w:p>
    <w:p w:rsidR="00014743" w:rsidRDefault="00014743" w:rsidP="00014743">
      <w:pPr>
        <w:pStyle w:val="Zkladntext"/>
        <w:ind w:left="0"/>
      </w:pPr>
    </w:p>
    <w:p w:rsidR="0058479C" w:rsidRDefault="008339A2" w:rsidP="00014743">
      <w:pPr>
        <w:pStyle w:val="Zkladntext"/>
        <w:ind w:left="0"/>
      </w:pPr>
      <w:r w:rsidRPr="00A32A86">
        <w:t xml:space="preserve">Ekvivalentmi peňažných prostriedkov (angl. cash </w:t>
      </w:r>
      <w:proofErr w:type="spellStart"/>
      <w:r w:rsidRPr="00A32A86">
        <w:t>equivalents</w:t>
      </w:r>
      <w:proofErr w:type="spellEnd"/>
      <w:r w:rsidRPr="00A32A86">
        <w:t>) sa rozumie krátkodobý finančný majetok zameniteľný za vopred známu sumu peňažných prostriedkov, pri ktorom nie je riziko výraznej zmeny jeho hodnoty v najbližších troch mesiacoch odo dňa, ku ktorému sa zostavuje účtovná závierka, napríklad termínované vklady na bankových účtoch, ktoré sú uložené najviac na trojmesačnú výpovednú lehotu, likvidné cenné papiere určené na obchodovanie, prioritné akcie obstarané účtovnou jednotkou, ktoré sú splatné do troch mesiacov odo dňa, ku ktorému sa zostavuje účtovná závierka</w:t>
      </w:r>
    </w:p>
    <w:sectPr w:rsidR="0058479C" w:rsidSect="005B316E">
      <w:headerReference w:type="default" r:id="rId70"/>
      <w:footerReference w:type="default" r:id="rId71"/>
      <w:headerReference w:type="first" r:id="rId72"/>
      <w:footerReference w:type="first" r:id="rId73"/>
      <w:pgSz w:w="11906" w:h="16838" w:code="9"/>
      <w:pgMar w:top="1979" w:right="1021" w:bottom="1134" w:left="1673" w:header="675" w:footer="4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21F3" w:rsidRDefault="006221F3" w:rsidP="00E95128">
      <w:r>
        <w:separator/>
      </w:r>
    </w:p>
  </w:endnote>
  <w:endnote w:type="continuationSeparator" w:id="0">
    <w:p w:rsidR="006221F3" w:rsidRDefault="006221F3" w:rsidP="00E95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347328"/>
      <w:docPartObj>
        <w:docPartGallery w:val="Page Numbers (Bottom of Page)"/>
        <w:docPartUnique/>
      </w:docPartObj>
    </w:sdtPr>
    <w:sdtEndPr>
      <w:rPr>
        <w:sz w:val="16"/>
        <w:szCs w:val="16"/>
      </w:rPr>
    </w:sdtEndPr>
    <w:sdtContent>
      <w:p w:rsidR="00AC268A" w:rsidRPr="00D3659C" w:rsidRDefault="00AC268A">
        <w:pPr>
          <w:pStyle w:val="Pta"/>
          <w:jc w:val="right"/>
          <w:rPr>
            <w:sz w:val="16"/>
            <w:szCs w:val="16"/>
          </w:rPr>
        </w:pPr>
        <w:r w:rsidRPr="00D3659C">
          <w:rPr>
            <w:sz w:val="16"/>
            <w:szCs w:val="16"/>
          </w:rPr>
          <w:fldChar w:fldCharType="begin"/>
        </w:r>
        <w:r w:rsidRPr="00D3659C">
          <w:rPr>
            <w:sz w:val="16"/>
            <w:szCs w:val="16"/>
          </w:rPr>
          <w:instrText>PAGE   \* MERGEFORMAT</w:instrText>
        </w:r>
        <w:r w:rsidRPr="00D3659C">
          <w:rPr>
            <w:sz w:val="16"/>
            <w:szCs w:val="16"/>
          </w:rPr>
          <w:fldChar w:fldCharType="separate"/>
        </w:r>
        <w:r w:rsidR="0084608E">
          <w:rPr>
            <w:noProof/>
            <w:sz w:val="16"/>
            <w:szCs w:val="16"/>
          </w:rPr>
          <w:t>20</w:t>
        </w:r>
        <w:r w:rsidRPr="00D3659C">
          <w:rPr>
            <w:sz w:val="16"/>
            <w:szCs w:val="16"/>
          </w:rPr>
          <w:fldChar w:fldCharType="end"/>
        </w:r>
      </w:p>
    </w:sdtContent>
  </w:sdt>
  <w:p w:rsidR="00AC268A" w:rsidRDefault="00AC268A">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4844"/>
      <w:docPartObj>
        <w:docPartGallery w:val="Page Numbers (Bottom of Page)"/>
        <w:docPartUnique/>
      </w:docPartObj>
    </w:sdtPr>
    <w:sdtEndPr/>
    <w:sdtContent>
      <w:p w:rsidR="00AC268A" w:rsidRDefault="00AC268A" w:rsidP="00BE1B47">
        <w:pPr>
          <w:pStyle w:val="Pta"/>
          <w:jc w:val="center"/>
        </w:pPr>
        <w:r>
          <w:fldChar w:fldCharType="begin"/>
        </w:r>
        <w:r>
          <w:instrText xml:space="preserve"> PAGE   \* MERGEFORMAT </w:instrText>
        </w:r>
        <w:r>
          <w:fldChar w:fldCharType="separate"/>
        </w:r>
        <w:r w:rsidR="0084608E">
          <w:rPr>
            <w:noProof/>
          </w:rPr>
          <w:t>1</w:t>
        </w:r>
        <w:r>
          <w:rPr>
            <w:noProof/>
          </w:rPr>
          <w:fldChar w:fldCharType="end"/>
        </w:r>
      </w:p>
    </w:sdtContent>
  </w:sdt>
  <w:p w:rsidR="00AC268A" w:rsidRPr="009A69A7" w:rsidRDefault="00AC268A" w:rsidP="009A69A7">
    <w:pPr>
      <w:pStyle w:val="Pta"/>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21F3" w:rsidRDefault="006221F3" w:rsidP="00E95128">
      <w:r>
        <w:separator/>
      </w:r>
    </w:p>
  </w:footnote>
  <w:footnote w:type="continuationSeparator" w:id="0">
    <w:p w:rsidR="006221F3" w:rsidRDefault="006221F3" w:rsidP="00E951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68A" w:rsidRDefault="00AC268A" w:rsidP="00E95128">
    <w:pPr>
      <w:pStyle w:val="Hlavika"/>
      <w:tabs>
        <w:tab w:val="center" w:pos="4820"/>
        <w:tab w:val="right" w:pos="9214"/>
      </w:tabs>
      <w:jc w:val="right"/>
      <w:rPr>
        <w:sz w:val="18"/>
      </w:rPr>
    </w:pPr>
  </w:p>
  <w:tbl>
    <w:tblPr>
      <w:tblW w:w="9240" w:type="dxa"/>
      <w:tblInd w:w="55" w:type="dxa"/>
      <w:tblCellMar>
        <w:left w:w="70" w:type="dxa"/>
        <w:right w:w="70" w:type="dxa"/>
      </w:tblCellMar>
      <w:tblLook w:val="04A0" w:firstRow="1" w:lastRow="0" w:firstColumn="1" w:lastColumn="0" w:noHBand="0" w:noVBand="1"/>
    </w:tblPr>
    <w:tblGrid>
      <w:gridCol w:w="1760"/>
      <w:gridCol w:w="740"/>
      <w:gridCol w:w="460"/>
      <w:gridCol w:w="280"/>
      <w:gridCol w:w="280"/>
      <w:gridCol w:w="280"/>
      <w:gridCol w:w="280"/>
      <w:gridCol w:w="280"/>
      <w:gridCol w:w="280"/>
      <w:gridCol w:w="280"/>
      <w:gridCol w:w="280"/>
      <w:gridCol w:w="680"/>
      <w:gridCol w:w="560"/>
      <w:gridCol w:w="280"/>
      <w:gridCol w:w="280"/>
      <w:gridCol w:w="280"/>
      <w:gridCol w:w="280"/>
      <w:gridCol w:w="280"/>
      <w:gridCol w:w="280"/>
      <w:gridCol w:w="280"/>
      <w:gridCol w:w="280"/>
      <w:gridCol w:w="280"/>
      <w:gridCol w:w="280"/>
    </w:tblGrid>
    <w:tr w:rsidR="00AC268A" w:rsidRPr="00C13866" w:rsidTr="008C0287">
      <w:trPr>
        <w:trHeight w:val="115"/>
      </w:trPr>
      <w:tc>
        <w:tcPr>
          <w:tcW w:w="176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C268A" w:rsidRPr="00C13866" w:rsidRDefault="00AC268A" w:rsidP="008C0287">
          <w:pPr>
            <w:jc w:val="center"/>
            <w:rPr>
              <w:sz w:val="14"/>
              <w:szCs w:val="14"/>
              <w:lang w:eastAsia="sk-SK"/>
            </w:rPr>
          </w:pPr>
          <w:r w:rsidRPr="00C13866">
            <w:rPr>
              <w:sz w:val="14"/>
              <w:szCs w:val="14"/>
              <w:lang w:eastAsia="sk-SK"/>
            </w:rPr>
            <w:t xml:space="preserve">Poznámky </w:t>
          </w:r>
          <w:proofErr w:type="spellStart"/>
          <w:r w:rsidRPr="00C13866">
            <w:rPr>
              <w:sz w:val="14"/>
              <w:szCs w:val="14"/>
              <w:lang w:eastAsia="sk-SK"/>
            </w:rPr>
            <w:t>Úč</w:t>
          </w:r>
          <w:proofErr w:type="spellEnd"/>
          <w:r w:rsidRPr="00C13866">
            <w:rPr>
              <w:sz w:val="14"/>
              <w:szCs w:val="14"/>
              <w:lang w:eastAsia="sk-SK"/>
            </w:rPr>
            <w:t xml:space="preserve"> POD</w:t>
          </w:r>
          <w:r>
            <w:rPr>
              <w:sz w:val="14"/>
              <w:szCs w:val="14"/>
              <w:lang w:eastAsia="sk-SK"/>
            </w:rPr>
            <w:t>V</w:t>
          </w:r>
          <w:r w:rsidRPr="00C13866">
            <w:rPr>
              <w:sz w:val="14"/>
              <w:szCs w:val="14"/>
              <w:lang w:eastAsia="sk-SK"/>
            </w:rPr>
            <w:t xml:space="preserve"> 3 - 01</w:t>
          </w:r>
        </w:p>
      </w:tc>
      <w:tc>
        <w:tcPr>
          <w:tcW w:w="740" w:type="dxa"/>
          <w:tcBorders>
            <w:top w:val="nil"/>
            <w:left w:val="nil"/>
            <w:bottom w:val="nil"/>
            <w:right w:val="nil"/>
          </w:tcBorders>
          <w:shd w:val="clear" w:color="auto" w:fill="auto"/>
          <w:vAlign w:val="center"/>
          <w:hideMark/>
        </w:tcPr>
        <w:p w:rsidR="00AC268A" w:rsidRPr="00C13866" w:rsidRDefault="00AC268A" w:rsidP="008C0287">
          <w:pPr>
            <w:jc w:val="center"/>
            <w:rPr>
              <w:sz w:val="14"/>
              <w:szCs w:val="14"/>
              <w:lang w:eastAsia="sk-SK"/>
            </w:rPr>
          </w:pPr>
        </w:p>
      </w:tc>
      <w:tc>
        <w:tcPr>
          <w:tcW w:w="460" w:type="dxa"/>
          <w:tcBorders>
            <w:top w:val="nil"/>
            <w:left w:val="nil"/>
            <w:bottom w:val="nil"/>
            <w:right w:val="nil"/>
          </w:tcBorders>
          <w:shd w:val="clear" w:color="auto" w:fill="auto"/>
          <w:vAlign w:val="center"/>
          <w:hideMark/>
        </w:tcPr>
        <w:p w:rsidR="00AC268A" w:rsidRPr="00C13866" w:rsidRDefault="00AC268A" w:rsidP="008C0287">
          <w:pPr>
            <w:jc w:val="center"/>
            <w:rPr>
              <w:sz w:val="14"/>
              <w:szCs w:val="14"/>
              <w:lang w:eastAsia="sk-SK"/>
            </w:rPr>
          </w:pPr>
          <w:r w:rsidRPr="00C13866">
            <w:rPr>
              <w:sz w:val="14"/>
              <w:szCs w:val="14"/>
              <w:lang w:eastAsia="sk-SK"/>
            </w:rPr>
            <w:t>IČO</w:t>
          </w:r>
        </w:p>
      </w:tc>
      <w:tc>
        <w:tcPr>
          <w:tcW w:w="28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C268A" w:rsidRPr="00C13866" w:rsidRDefault="00AC268A" w:rsidP="008C0287">
          <w:pPr>
            <w:jc w:val="center"/>
            <w:rPr>
              <w:sz w:val="14"/>
              <w:szCs w:val="14"/>
              <w:lang w:eastAsia="sk-SK"/>
            </w:rPr>
          </w:pPr>
          <w:r w:rsidRPr="00C13866">
            <w:rPr>
              <w:sz w:val="14"/>
              <w:szCs w:val="14"/>
              <w:lang w:eastAsia="sk-SK"/>
            </w:rPr>
            <w:t>1</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AC268A" w:rsidRPr="00C13866" w:rsidRDefault="00AC268A" w:rsidP="008C0287">
          <w:pPr>
            <w:jc w:val="center"/>
            <w:rPr>
              <w:sz w:val="14"/>
              <w:szCs w:val="14"/>
              <w:lang w:eastAsia="sk-SK"/>
            </w:rPr>
          </w:pPr>
          <w:r w:rsidRPr="00C13866">
            <w:rPr>
              <w:sz w:val="14"/>
              <w:szCs w:val="14"/>
              <w:lang w:eastAsia="sk-SK"/>
            </w:rPr>
            <w:t>7</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AC268A" w:rsidRPr="00C13866" w:rsidRDefault="00AC268A" w:rsidP="008C0287">
          <w:pPr>
            <w:jc w:val="center"/>
            <w:rPr>
              <w:sz w:val="14"/>
              <w:szCs w:val="14"/>
              <w:lang w:eastAsia="sk-SK"/>
            </w:rPr>
          </w:pPr>
          <w:r w:rsidRPr="00C13866">
            <w:rPr>
              <w:sz w:val="14"/>
              <w:szCs w:val="14"/>
              <w:lang w:eastAsia="sk-SK"/>
            </w:rPr>
            <w:t>0</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AC268A" w:rsidRPr="00C13866" w:rsidRDefault="00AC268A" w:rsidP="008C0287">
          <w:pPr>
            <w:jc w:val="center"/>
            <w:rPr>
              <w:sz w:val="14"/>
              <w:szCs w:val="14"/>
              <w:lang w:eastAsia="sk-SK"/>
            </w:rPr>
          </w:pPr>
          <w:r w:rsidRPr="00C13866">
            <w:rPr>
              <w:sz w:val="14"/>
              <w:szCs w:val="14"/>
              <w:lang w:eastAsia="sk-SK"/>
            </w:rPr>
            <w:t>8</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AC268A" w:rsidRPr="00C13866" w:rsidRDefault="00AC268A" w:rsidP="008C0287">
          <w:pPr>
            <w:jc w:val="center"/>
            <w:rPr>
              <w:sz w:val="14"/>
              <w:szCs w:val="14"/>
              <w:lang w:eastAsia="sk-SK"/>
            </w:rPr>
          </w:pPr>
          <w:r w:rsidRPr="00C13866">
            <w:rPr>
              <w:sz w:val="14"/>
              <w:szCs w:val="14"/>
              <w:lang w:eastAsia="sk-SK"/>
            </w:rPr>
            <w:t>4</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AC268A" w:rsidRPr="00C13866" w:rsidRDefault="00AC268A" w:rsidP="008C0287">
          <w:pPr>
            <w:jc w:val="center"/>
            <w:rPr>
              <w:sz w:val="14"/>
              <w:szCs w:val="14"/>
              <w:lang w:eastAsia="sk-SK"/>
            </w:rPr>
          </w:pPr>
          <w:r w:rsidRPr="00C13866">
            <w:rPr>
              <w:sz w:val="14"/>
              <w:szCs w:val="14"/>
              <w:lang w:eastAsia="sk-SK"/>
            </w:rPr>
            <w:t>7</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AC268A" w:rsidRPr="00C13866" w:rsidRDefault="00AC268A" w:rsidP="008C0287">
          <w:pPr>
            <w:jc w:val="center"/>
            <w:rPr>
              <w:sz w:val="14"/>
              <w:szCs w:val="14"/>
              <w:lang w:eastAsia="sk-SK"/>
            </w:rPr>
          </w:pPr>
          <w:r w:rsidRPr="00C13866">
            <w:rPr>
              <w:sz w:val="14"/>
              <w:szCs w:val="14"/>
              <w:lang w:eastAsia="sk-SK"/>
            </w:rPr>
            <w:t>2</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AC268A" w:rsidRPr="00C13866" w:rsidRDefault="00AC268A" w:rsidP="008C0287">
          <w:pPr>
            <w:jc w:val="center"/>
            <w:rPr>
              <w:sz w:val="14"/>
              <w:szCs w:val="14"/>
              <w:lang w:eastAsia="sk-SK"/>
            </w:rPr>
          </w:pPr>
          <w:r w:rsidRPr="00C13866">
            <w:rPr>
              <w:sz w:val="14"/>
              <w:szCs w:val="14"/>
              <w:lang w:eastAsia="sk-SK"/>
            </w:rPr>
            <w:t>5</w:t>
          </w:r>
        </w:p>
      </w:tc>
      <w:tc>
        <w:tcPr>
          <w:tcW w:w="680" w:type="dxa"/>
          <w:tcBorders>
            <w:top w:val="nil"/>
            <w:left w:val="nil"/>
            <w:bottom w:val="nil"/>
            <w:right w:val="nil"/>
          </w:tcBorders>
          <w:shd w:val="clear" w:color="auto" w:fill="auto"/>
          <w:noWrap/>
          <w:vAlign w:val="center"/>
          <w:hideMark/>
        </w:tcPr>
        <w:p w:rsidR="00AC268A" w:rsidRPr="00C13866" w:rsidRDefault="00AC268A" w:rsidP="008C0287">
          <w:pPr>
            <w:jc w:val="center"/>
            <w:rPr>
              <w:rFonts w:ascii="Arial CE" w:hAnsi="Arial CE" w:cs="Arial CE"/>
              <w:sz w:val="14"/>
              <w:szCs w:val="14"/>
              <w:lang w:eastAsia="sk-SK"/>
            </w:rPr>
          </w:pPr>
        </w:p>
      </w:tc>
      <w:tc>
        <w:tcPr>
          <w:tcW w:w="560" w:type="dxa"/>
          <w:tcBorders>
            <w:top w:val="nil"/>
            <w:left w:val="nil"/>
            <w:bottom w:val="nil"/>
            <w:right w:val="nil"/>
          </w:tcBorders>
          <w:shd w:val="clear" w:color="auto" w:fill="auto"/>
          <w:vAlign w:val="center"/>
          <w:hideMark/>
        </w:tcPr>
        <w:p w:rsidR="00AC268A" w:rsidRPr="00C13866" w:rsidRDefault="00AC268A" w:rsidP="008C0287">
          <w:pPr>
            <w:jc w:val="center"/>
            <w:rPr>
              <w:sz w:val="14"/>
              <w:szCs w:val="14"/>
              <w:lang w:eastAsia="sk-SK"/>
            </w:rPr>
          </w:pPr>
          <w:r w:rsidRPr="00C13866">
            <w:rPr>
              <w:sz w:val="14"/>
              <w:szCs w:val="14"/>
              <w:lang w:eastAsia="sk-SK"/>
            </w:rPr>
            <w:t>DIČ</w:t>
          </w:r>
        </w:p>
      </w:tc>
      <w:tc>
        <w:tcPr>
          <w:tcW w:w="28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C268A" w:rsidRPr="00C13866" w:rsidRDefault="00AC268A" w:rsidP="008C0287">
          <w:pPr>
            <w:jc w:val="center"/>
            <w:rPr>
              <w:sz w:val="14"/>
              <w:szCs w:val="14"/>
              <w:lang w:eastAsia="sk-SK"/>
            </w:rPr>
          </w:pPr>
          <w:r w:rsidRPr="00C13866">
            <w:rPr>
              <w:sz w:val="14"/>
              <w:szCs w:val="14"/>
              <w:lang w:eastAsia="sk-SK"/>
            </w:rPr>
            <w:t>2</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AC268A" w:rsidRPr="00C13866" w:rsidRDefault="00AC268A" w:rsidP="008C0287">
          <w:pPr>
            <w:jc w:val="center"/>
            <w:rPr>
              <w:sz w:val="14"/>
              <w:szCs w:val="14"/>
              <w:lang w:eastAsia="sk-SK"/>
            </w:rPr>
          </w:pPr>
          <w:r w:rsidRPr="00C13866">
            <w:rPr>
              <w:sz w:val="14"/>
              <w:szCs w:val="14"/>
              <w:lang w:eastAsia="sk-SK"/>
            </w:rPr>
            <w:t>0</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AC268A" w:rsidRPr="00C13866" w:rsidRDefault="00AC268A" w:rsidP="008C0287">
          <w:pPr>
            <w:jc w:val="center"/>
            <w:rPr>
              <w:sz w:val="14"/>
              <w:szCs w:val="14"/>
              <w:lang w:eastAsia="sk-SK"/>
            </w:rPr>
          </w:pPr>
          <w:r w:rsidRPr="00C13866">
            <w:rPr>
              <w:sz w:val="14"/>
              <w:szCs w:val="14"/>
              <w:lang w:eastAsia="sk-SK"/>
            </w:rPr>
            <w:t>2</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AC268A" w:rsidRPr="00C13866" w:rsidRDefault="00AC268A" w:rsidP="008C0287">
          <w:pPr>
            <w:jc w:val="center"/>
            <w:rPr>
              <w:sz w:val="14"/>
              <w:szCs w:val="14"/>
              <w:lang w:eastAsia="sk-SK"/>
            </w:rPr>
          </w:pPr>
          <w:r w:rsidRPr="00C13866">
            <w:rPr>
              <w:sz w:val="14"/>
              <w:szCs w:val="14"/>
              <w:lang w:eastAsia="sk-SK"/>
            </w:rPr>
            <w:t>0</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AC268A" w:rsidRPr="00C13866" w:rsidRDefault="00AC268A" w:rsidP="008C0287">
          <w:pPr>
            <w:jc w:val="center"/>
            <w:rPr>
              <w:sz w:val="14"/>
              <w:szCs w:val="14"/>
              <w:lang w:eastAsia="sk-SK"/>
            </w:rPr>
          </w:pPr>
          <w:r w:rsidRPr="00C13866">
            <w:rPr>
              <w:sz w:val="14"/>
              <w:szCs w:val="14"/>
              <w:lang w:eastAsia="sk-SK"/>
            </w:rPr>
            <w:t>5</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AC268A" w:rsidRPr="00C13866" w:rsidRDefault="00AC268A" w:rsidP="008C0287">
          <w:pPr>
            <w:jc w:val="center"/>
            <w:rPr>
              <w:sz w:val="14"/>
              <w:szCs w:val="14"/>
              <w:lang w:eastAsia="sk-SK"/>
            </w:rPr>
          </w:pPr>
          <w:r w:rsidRPr="00C13866">
            <w:rPr>
              <w:sz w:val="14"/>
              <w:szCs w:val="14"/>
              <w:lang w:eastAsia="sk-SK"/>
            </w:rPr>
            <w:t>1</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AC268A" w:rsidRPr="00C13866" w:rsidRDefault="00AC268A" w:rsidP="008C0287">
          <w:pPr>
            <w:jc w:val="center"/>
            <w:rPr>
              <w:sz w:val="14"/>
              <w:szCs w:val="14"/>
              <w:lang w:eastAsia="sk-SK"/>
            </w:rPr>
          </w:pPr>
          <w:r w:rsidRPr="00C13866">
            <w:rPr>
              <w:sz w:val="14"/>
              <w:szCs w:val="14"/>
              <w:lang w:eastAsia="sk-SK"/>
            </w:rPr>
            <w:t>3</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AC268A" w:rsidRPr="00C13866" w:rsidRDefault="00AC268A" w:rsidP="008C0287">
          <w:pPr>
            <w:jc w:val="center"/>
            <w:rPr>
              <w:sz w:val="14"/>
              <w:szCs w:val="14"/>
              <w:lang w:eastAsia="sk-SK"/>
            </w:rPr>
          </w:pPr>
          <w:r w:rsidRPr="00C13866">
            <w:rPr>
              <w:sz w:val="14"/>
              <w:szCs w:val="14"/>
              <w:lang w:eastAsia="sk-SK"/>
            </w:rPr>
            <w:t>0</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AC268A" w:rsidRPr="00C13866" w:rsidRDefault="00AC268A" w:rsidP="008C0287">
          <w:pPr>
            <w:jc w:val="center"/>
            <w:rPr>
              <w:sz w:val="14"/>
              <w:szCs w:val="14"/>
              <w:lang w:eastAsia="sk-SK"/>
            </w:rPr>
          </w:pPr>
          <w:r w:rsidRPr="00C13866">
            <w:rPr>
              <w:sz w:val="14"/>
              <w:szCs w:val="14"/>
              <w:lang w:eastAsia="sk-SK"/>
            </w:rPr>
            <w:t>2</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AC268A" w:rsidRPr="00C13866" w:rsidRDefault="00AC268A" w:rsidP="008C0287">
          <w:pPr>
            <w:jc w:val="center"/>
            <w:rPr>
              <w:sz w:val="14"/>
              <w:szCs w:val="14"/>
              <w:lang w:eastAsia="sk-SK"/>
            </w:rPr>
          </w:pPr>
          <w:r w:rsidRPr="00C13866">
            <w:rPr>
              <w:sz w:val="14"/>
              <w:szCs w:val="14"/>
              <w:lang w:eastAsia="sk-SK"/>
            </w:rPr>
            <w:t>2</w:t>
          </w:r>
        </w:p>
      </w:tc>
    </w:tr>
  </w:tbl>
  <w:p w:rsidR="00AC268A" w:rsidRDefault="00AC268A" w:rsidP="00A8210A">
    <w:pPr>
      <w:pStyle w:val="Hlavika"/>
      <w:tabs>
        <w:tab w:val="clear" w:pos="4536"/>
        <w:tab w:val="center" w:pos="4253"/>
        <w:tab w:val="right" w:pos="9214"/>
      </w:tabs>
      <w:jc w:val="center"/>
      <w:rPr>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68A" w:rsidRPr="00E95128" w:rsidRDefault="00AC268A" w:rsidP="00047F1C">
    <w:pPr>
      <w:pStyle w:val="Hlavika"/>
      <w:tabs>
        <w:tab w:val="clear" w:pos="4536"/>
        <w:tab w:val="clear" w:pos="9072"/>
        <w:tab w:val="left" w:pos="270"/>
        <w:tab w:val="center" w:pos="3969"/>
        <w:tab w:val="right" w:pos="9212"/>
      </w:tabs>
    </w:pPr>
  </w:p>
  <w:tbl>
    <w:tblPr>
      <w:tblW w:w="9240" w:type="dxa"/>
      <w:tblInd w:w="55" w:type="dxa"/>
      <w:tblCellMar>
        <w:left w:w="70" w:type="dxa"/>
        <w:right w:w="70" w:type="dxa"/>
      </w:tblCellMar>
      <w:tblLook w:val="04A0" w:firstRow="1" w:lastRow="0" w:firstColumn="1" w:lastColumn="0" w:noHBand="0" w:noVBand="1"/>
    </w:tblPr>
    <w:tblGrid>
      <w:gridCol w:w="1760"/>
      <w:gridCol w:w="740"/>
      <w:gridCol w:w="460"/>
      <w:gridCol w:w="280"/>
      <w:gridCol w:w="280"/>
      <w:gridCol w:w="280"/>
      <w:gridCol w:w="280"/>
      <w:gridCol w:w="280"/>
      <w:gridCol w:w="280"/>
      <w:gridCol w:w="280"/>
      <w:gridCol w:w="280"/>
      <w:gridCol w:w="680"/>
      <w:gridCol w:w="560"/>
      <w:gridCol w:w="280"/>
      <w:gridCol w:w="280"/>
      <w:gridCol w:w="280"/>
      <w:gridCol w:w="280"/>
      <w:gridCol w:w="280"/>
      <w:gridCol w:w="280"/>
      <w:gridCol w:w="280"/>
      <w:gridCol w:w="280"/>
      <w:gridCol w:w="280"/>
      <w:gridCol w:w="280"/>
    </w:tblGrid>
    <w:tr w:rsidR="00AC268A" w:rsidRPr="00C13866" w:rsidTr="00C13866">
      <w:trPr>
        <w:trHeight w:val="115"/>
      </w:trPr>
      <w:tc>
        <w:tcPr>
          <w:tcW w:w="176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C268A" w:rsidRPr="00C13866" w:rsidRDefault="00AC268A" w:rsidP="00C13866">
          <w:pPr>
            <w:jc w:val="center"/>
            <w:rPr>
              <w:sz w:val="14"/>
              <w:szCs w:val="14"/>
              <w:lang w:eastAsia="sk-SK"/>
            </w:rPr>
          </w:pPr>
          <w:r w:rsidRPr="00C13866">
            <w:rPr>
              <w:sz w:val="14"/>
              <w:szCs w:val="14"/>
              <w:lang w:eastAsia="sk-SK"/>
            </w:rPr>
            <w:t xml:space="preserve">Poznámky </w:t>
          </w:r>
          <w:proofErr w:type="spellStart"/>
          <w:r w:rsidRPr="00C13866">
            <w:rPr>
              <w:sz w:val="14"/>
              <w:szCs w:val="14"/>
              <w:lang w:eastAsia="sk-SK"/>
            </w:rPr>
            <w:t>Úč</w:t>
          </w:r>
          <w:proofErr w:type="spellEnd"/>
          <w:r w:rsidRPr="00C13866">
            <w:rPr>
              <w:sz w:val="14"/>
              <w:szCs w:val="14"/>
              <w:lang w:eastAsia="sk-SK"/>
            </w:rPr>
            <w:t xml:space="preserve"> POD 3 - 01</w:t>
          </w:r>
        </w:p>
      </w:tc>
      <w:tc>
        <w:tcPr>
          <w:tcW w:w="740" w:type="dxa"/>
          <w:tcBorders>
            <w:top w:val="nil"/>
            <w:left w:val="nil"/>
            <w:bottom w:val="nil"/>
            <w:right w:val="nil"/>
          </w:tcBorders>
          <w:shd w:val="clear" w:color="auto" w:fill="auto"/>
          <w:vAlign w:val="center"/>
          <w:hideMark/>
        </w:tcPr>
        <w:p w:rsidR="00AC268A" w:rsidRPr="00C13866" w:rsidRDefault="00AC268A" w:rsidP="00C13866">
          <w:pPr>
            <w:jc w:val="center"/>
            <w:rPr>
              <w:sz w:val="14"/>
              <w:szCs w:val="14"/>
              <w:lang w:eastAsia="sk-SK"/>
            </w:rPr>
          </w:pPr>
        </w:p>
      </w:tc>
      <w:tc>
        <w:tcPr>
          <w:tcW w:w="460" w:type="dxa"/>
          <w:tcBorders>
            <w:top w:val="nil"/>
            <w:left w:val="nil"/>
            <w:bottom w:val="nil"/>
            <w:right w:val="nil"/>
          </w:tcBorders>
          <w:shd w:val="clear" w:color="auto" w:fill="auto"/>
          <w:vAlign w:val="center"/>
          <w:hideMark/>
        </w:tcPr>
        <w:p w:rsidR="00AC268A" w:rsidRPr="00C13866" w:rsidRDefault="00AC268A" w:rsidP="00C13866">
          <w:pPr>
            <w:jc w:val="center"/>
            <w:rPr>
              <w:sz w:val="14"/>
              <w:szCs w:val="14"/>
              <w:lang w:eastAsia="sk-SK"/>
            </w:rPr>
          </w:pPr>
          <w:r w:rsidRPr="00C13866">
            <w:rPr>
              <w:sz w:val="14"/>
              <w:szCs w:val="14"/>
              <w:lang w:eastAsia="sk-SK"/>
            </w:rPr>
            <w:t>IČO</w:t>
          </w:r>
        </w:p>
      </w:tc>
      <w:tc>
        <w:tcPr>
          <w:tcW w:w="28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C268A" w:rsidRPr="00C13866" w:rsidRDefault="00AC268A" w:rsidP="00C13866">
          <w:pPr>
            <w:jc w:val="center"/>
            <w:rPr>
              <w:sz w:val="14"/>
              <w:szCs w:val="14"/>
              <w:lang w:eastAsia="sk-SK"/>
            </w:rPr>
          </w:pPr>
          <w:r w:rsidRPr="00C13866">
            <w:rPr>
              <w:sz w:val="14"/>
              <w:szCs w:val="14"/>
              <w:lang w:eastAsia="sk-SK"/>
            </w:rPr>
            <w:t>1</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AC268A" w:rsidRPr="00C13866" w:rsidRDefault="00AC268A" w:rsidP="00C13866">
          <w:pPr>
            <w:jc w:val="center"/>
            <w:rPr>
              <w:sz w:val="14"/>
              <w:szCs w:val="14"/>
              <w:lang w:eastAsia="sk-SK"/>
            </w:rPr>
          </w:pPr>
          <w:r w:rsidRPr="00C13866">
            <w:rPr>
              <w:sz w:val="14"/>
              <w:szCs w:val="14"/>
              <w:lang w:eastAsia="sk-SK"/>
            </w:rPr>
            <w:t>7</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AC268A" w:rsidRPr="00C13866" w:rsidRDefault="00AC268A" w:rsidP="00C13866">
          <w:pPr>
            <w:jc w:val="center"/>
            <w:rPr>
              <w:sz w:val="14"/>
              <w:szCs w:val="14"/>
              <w:lang w:eastAsia="sk-SK"/>
            </w:rPr>
          </w:pPr>
          <w:r w:rsidRPr="00C13866">
            <w:rPr>
              <w:sz w:val="14"/>
              <w:szCs w:val="14"/>
              <w:lang w:eastAsia="sk-SK"/>
            </w:rPr>
            <w:t>0</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AC268A" w:rsidRPr="00C13866" w:rsidRDefault="00AC268A" w:rsidP="00C13866">
          <w:pPr>
            <w:jc w:val="center"/>
            <w:rPr>
              <w:sz w:val="14"/>
              <w:szCs w:val="14"/>
              <w:lang w:eastAsia="sk-SK"/>
            </w:rPr>
          </w:pPr>
          <w:r w:rsidRPr="00C13866">
            <w:rPr>
              <w:sz w:val="14"/>
              <w:szCs w:val="14"/>
              <w:lang w:eastAsia="sk-SK"/>
            </w:rPr>
            <w:t>8</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AC268A" w:rsidRPr="00C13866" w:rsidRDefault="00AC268A" w:rsidP="00C13866">
          <w:pPr>
            <w:jc w:val="center"/>
            <w:rPr>
              <w:sz w:val="14"/>
              <w:szCs w:val="14"/>
              <w:lang w:eastAsia="sk-SK"/>
            </w:rPr>
          </w:pPr>
          <w:r w:rsidRPr="00C13866">
            <w:rPr>
              <w:sz w:val="14"/>
              <w:szCs w:val="14"/>
              <w:lang w:eastAsia="sk-SK"/>
            </w:rPr>
            <w:t>4</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AC268A" w:rsidRPr="00C13866" w:rsidRDefault="00AC268A" w:rsidP="00C13866">
          <w:pPr>
            <w:jc w:val="center"/>
            <w:rPr>
              <w:sz w:val="14"/>
              <w:szCs w:val="14"/>
              <w:lang w:eastAsia="sk-SK"/>
            </w:rPr>
          </w:pPr>
          <w:r w:rsidRPr="00C13866">
            <w:rPr>
              <w:sz w:val="14"/>
              <w:szCs w:val="14"/>
              <w:lang w:eastAsia="sk-SK"/>
            </w:rPr>
            <w:t>7</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AC268A" w:rsidRPr="00C13866" w:rsidRDefault="00AC268A" w:rsidP="00C13866">
          <w:pPr>
            <w:jc w:val="center"/>
            <w:rPr>
              <w:sz w:val="14"/>
              <w:szCs w:val="14"/>
              <w:lang w:eastAsia="sk-SK"/>
            </w:rPr>
          </w:pPr>
          <w:r w:rsidRPr="00C13866">
            <w:rPr>
              <w:sz w:val="14"/>
              <w:szCs w:val="14"/>
              <w:lang w:eastAsia="sk-SK"/>
            </w:rPr>
            <w:t>2</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AC268A" w:rsidRPr="00C13866" w:rsidRDefault="00AC268A" w:rsidP="00C13866">
          <w:pPr>
            <w:jc w:val="center"/>
            <w:rPr>
              <w:sz w:val="14"/>
              <w:szCs w:val="14"/>
              <w:lang w:eastAsia="sk-SK"/>
            </w:rPr>
          </w:pPr>
          <w:r w:rsidRPr="00C13866">
            <w:rPr>
              <w:sz w:val="14"/>
              <w:szCs w:val="14"/>
              <w:lang w:eastAsia="sk-SK"/>
            </w:rPr>
            <w:t>5</w:t>
          </w:r>
        </w:p>
      </w:tc>
      <w:tc>
        <w:tcPr>
          <w:tcW w:w="680" w:type="dxa"/>
          <w:tcBorders>
            <w:top w:val="nil"/>
            <w:left w:val="nil"/>
            <w:bottom w:val="nil"/>
            <w:right w:val="nil"/>
          </w:tcBorders>
          <w:shd w:val="clear" w:color="auto" w:fill="auto"/>
          <w:noWrap/>
          <w:vAlign w:val="center"/>
          <w:hideMark/>
        </w:tcPr>
        <w:p w:rsidR="00AC268A" w:rsidRPr="00C13866" w:rsidRDefault="00AC268A" w:rsidP="00C13866">
          <w:pPr>
            <w:jc w:val="center"/>
            <w:rPr>
              <w:rFonts w:ascii="Arial CE" w:hAnsi="Arial CE" w:cs="Arial CE"/>
              <w:sz w:val="14"/>
              <w:szCs w:val="14"/>
              <w:lang w:eastAsia="sk-SK"/>
            </w:rPr>
          </w:pPr>
        </w:p>
      </w:tc>
      <w:tc>
        <w:tcPr>
          <w:tcW w:w="560" w:type="dxa"/>
          <w:tcBorders>
            <w:top w:val="nil"/>
            <w:left w:val="nil"/>
            <w:bottom w:val="nil"/>
            <w:right w:val="nil"/>
          </w:tcBorders>
          <w:shd w:val="clear" w:color="auto" w:fill="auto"/>
          <w:vAlign w:val="center"/>
          <w:hideMark/>
        </w:tcPr>
        <w:p w:rsidR="00AC268A" w:rsidRPr="00C13866" w:rsidRDefault="00AC268A" w:rsidP="00C13866">
          <w:pPr>
            <w:jc w:val="center"/>
            <w:rPr>
              <w:sz w:val="14"/>
              <w:szCs w:val="14"/>
              <w:lang w:eastAsia="sk-SK"/>
            </w:rPr>
          </w:pPr>
          <w:r w:rsidRPr="00C13866">
            <w:rPr>
              <w:sz w:val="14"/>
              <w:szCs w:val="14"/>
              <w:lang w:eastAsia="sk-SK"/>
            </w:rPr>
            <w:t>DIČ</w:t>
          </w:r>
        </w:p>
      </w:tc>
      <w:tc>
        <w:tcPr>
          <w:tcW w:w="28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C268A" w:rsidRPr="00C13866" w:rsidRDefault="00AC268A" w:rsidP="00C13866">
          <w:pPr>
            <w:jc w:val="center"/>
            <w:rPr>
              <w:sz w:val="14"/>
              <w:szCs w:val="14"/>
              <w:lang w:eastAsia="sk-SK"/>
            </w:rPr>
          </w:pPr>
          <w:r w:rsidRPr="00C13866">
            <w:rPr>
              <w:sz w:val="14"/>
              <w:szCs w:val="14"/>
              <w:lang w:eastAsia="sk-SK"/>
            </w:rPr>
            <w:t>2</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AC268A" w:rsidRPr="00C13866" w:rsidRDefault="00AC268A" w:rsidP="00C13866">
          <w:pPr>
            <w:jc w:val="center"/>
            <w:rPr>
              <w:sz w:val="14"/>
              <w:szCs w:val="14"/>
              <w:lang w:eastAsia="sk-SK"/>
            </w:rPr>
          </w:pPr>
          <w:r w:rsidRPr="00C13866">
            <w:rPr>
              <w:sz w:val="14"/>
              <w:szCs w:val="14"/>
              <w:lang w:eastAsia="sk-SK"/>
            </w:rPr>
            <w:t>0</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AC268A" w:rsidRPr="00C13866" w:rsidRDefault="00AC268A" w:rsidP="00C13866">
          <w:pPr>
            <w:jc w:val="center"/>
            <w:rPr>
              <w:sz w:val="14"/>
              <w:szCs w:val="14"/>
              <w:lang w:eastAsia="sk-SK"/>
            </w:rPr>
          </w:pPr>
          <w:r w:rsidRPr="00C13866">
            <w:rPr>
              <w:sz w:val="14"/>
              <w:szCs w:val="14"/>
              <w:lang w:eastAsia="sk-SK"/>
            </w:rPr>
            <w:t>2</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AC268A" w:rsidRPr="00C13866" w:rsidRDefault="00AC268A" w:rsidP="00C13866">
          <w:pPr>
            <w:jc w:val="center"/>
            <w:rPr>
              <w:sz w:val="14"/>
              <w:szCs w:val="14"/>
              <w:lang w:eastAsia="sk-SK"/>
            </w:rPr>
          </w:pPr>
          <w:r w:rsidRPr="00C13866">
            <w:rPr>
              <w:sz w:val="14"/>
              <w:szCs w:val="14"/>
              <w:lang w:eastAsia="sk-SK"/>
            </w:rPr>
            <w:t>0</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AC268A" w:rsidRPr="00C13866" w:rsidRDefault="00AC268A" w:rsidP="00C13866">
          <w:pPr>
            <w:jc w:val="center"/>
            <w:rPr>
              <w:sz w:val="14"/>
              <w:szCs w:val="14"/>
              <w:lang w:eastAsia="sk-SK"/>
            </w:rPr>
          </w:pPr>
          <w:r w:rsidRPr="00C13866">
            <w:rPr>
              <w:sz w:val="14"/>
              <w:szCs w:val="14"/>
              <w:lang w:eastAsia="sk-SK"/>
            </w:rPr>
            <w:t>5</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AC268A" w:rsidRPr="00C13866" w:rsidRDefault="00AC268A" w:rsidP="00C13866">
          <w:pPr>
            <w:jc w:val="center"/>
            <w:rPr>
              <w:sz w:val="14"/>
              <w:szCs w:val="14"/>
              <w:lang w:eastAsia="sk-SK"/>
            </w:rPr>
          </w:pPr>
          <w:r w:rsidRPr="00C13866">
            <w:rPr>
              <w:sz w:val="14"/>
              <w:szCs w:val="14"/>
              <w:lang w:eastAsia="sk-SK"/>
            </w:rPr>
            <w:t>1</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AC268A" w:rsidRPr="00C13866" w:rsidRDefault="00AC268A" w:rsidP="00C13866">
          <w:pPr>
            <w:jc w:val="center"/>
            <w:rPr>
              <w:sz w:val="14"/>
              <w:szCs w:val="14"/>
              <w:lang w:eastAsia="sk-SK"/>
            </w:rPr>
          </w:pPr>
          <w:r w:rsidRPr="00C13866">
            <w:rPr>
              <w:sz w:val="14"/>
              <w:szCs w:val="14"/>
              <w:lang w:eastAsia="sk-SK"/>
            </w:rPr>
            <w:t>3</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AC268A" w:rsidRPr="00C13866" w:rsidRDefault="00AC268A" w:rsidP="00C13866">
          <w:pPr>
            <w:jc w:val="center"/>
            <w:rPr>
              <w:sz w:val="14"/>
              <w:szCs w:val="14"/>
              <w:lang w:eastAsia="sk-SK"/>
            </w:rPr>
          </w:pPr>
          <w:r w:rsidRPr="00C13866">
            <w:rPr>
              <w:sz w:val="14"/>
              <w:szCs w:val="14"/>
              <w:lang w:eastAsia="sk-SK"/>
            </w:rPr>
            <w:t>0</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AC268A" w:rsidRPr="00C13866" w:rsidRDefault="00AC268A" w:rsidP="00C13866">
          <w:pPr>
            <w:jc w:val="center"/>
            <w:rPr>
              <w:sz w:val="14"/>
              <w:szCs w:val="14"/>
              <w:lang w:eastAsia="sk-SK"/>
            </w:rPr>
          </w:pPr>
          <w:r w:rsidRPr="00C13866">
            <w:rPr>
              <w:sz w:val="14"/>
              <w:szCs w:val="14"/>
              <w:lang w:eastAsia="sk-SK"/>
            </w:rPr>
            <w:t>2</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AC268A" w:rsidRPr="00C13866" w:rsidRDefault="00AC268A" w:rsidP="00C13866">
          <w:pPr>
            <w:jc w:val="center"/>
            <w:rPr>
              <w:sz w:val="14"/>
              <w:szCs w:val="14"/>
              <w:lang w:eastAsia="sk-SK"/>
            </w:rPr>
          </w:pPr>
          <w:r w:rsidRPr="00C13866">
            <w:rPr>
              <w:sz w:val="14"/>
              <w:szCs w:val="14"/>
              <w:lang w:eastAsia="sk-SK"/>
            </w:rPr>
            <w:t>2</w:t>
          </w:r>
        </w:p>
      </w:tc>
    </w:tr>
  </w:tbl>
  <w:p w:rsidR="00AC268A" w:rsidRPr="00E95128" w:rsidRDefault="00AC268A" w:rsidP="00047F1C">
    <w:pPr>
      <w:pStyle w:val="Hlavika"/>
      <w:tabs>
        <w:tab w:val="clear" w:pos="4536"/>
        <w:tab w:val="center" w:pos="4253"/>
        <w:tab w:val="right" w:pos="9214"/>
      </w:tabs>
      <w:rPr>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4B71293"/>
    <w:multiLevelType w:val="singleLevel"/>
    <w:tmpl w:val="5D2CEDE4"/>
    <w:lvl w:ilvl="0">
      <w:start w:val="1"/>
      <w:numFmt w:val="bullet"/>
      <w:lvlText w:val=""/>
      <w:lvlJc w:val="left"/>
      <w:pPr>
        <w:tabs>
          <w:tab w:val="num" w:pos="340"/>
        </w:tabs>
        <w:ind w:left="340" w:hanging="340"/>
      </w:pPr>
      <w:rPr>
        <w:rFonts w:ascii="Symbol" w:hAnsi="Symbol" w:hint="default"/>
        <w:color w:val="auto"/>
        <w:sz w:val="22"/>
      </w:rPr>
    </w:lvl>
  </w:abstractNum>
  <w:abstractNum w:abstractNumId="2" w15:restartNumberingAfterBreak="0">
    <w:nsid w:val="0C5537CD"/>
    <w:multiLevelType w:val="hybridMultilevel"/>
    <w:tmpl w:val="FB08211E"/>
    <w:lvl w:ilvl="0" w:tplc="04090017">
      <w:start w:val="1"/>
      <w:numFmt w:val="lowerLetter"/>
      <w:lvlText w:val="%1)"/>
      <w:lvlJc w:val="left"/>
      <w:pPr>
        <w:tabs>
          <w:tab w:val="num" w:pos="1192"/>
        </w:tabs>
        <w:ind w:left="1192" w:hanging="360"/>
      </w:pPr>
      <w:rPr>
        <w:rFonts w:cs="Times New Roman"/>
      </w:rPr>
    </w:lvl>
    <w:lvl w:ilvl="1" w:tplc="04090019" w:tentative="1">
      <w:start w:val="1"/>
      <w:numFmt w:val="lowerLetter"/>
      <w:lvlText w:val="%2."/>
      <w:lvlJc w:val="left"/>
      <w:pPr>
        <w:tabs>
          <w:tab w:val="num" w:pos="1912"/>
        </w:tabs>
        <w:ind w:left="1912" w:hanging="360"/>
      </w:pPr>
      <w:rPr>
        <w:rFonts w:cs="Times New Roman"/>
      </w:rPr>
    </w:lvl>
    <w:lvl w:ilvl="2" w:tplc="0409001B" w:tentative="1">
      <w:start w:val="1"/>
      <w:numFmt w:val="lowerRoman"/>
      <w:lvlText w:val="%3."/>
      <w:lvlJc w:val="right"/>
      <w:pPr>
        <w:tabs>
          <w:tab w:val="num" w:pos="2632"/>
        </w:tabs>
        <w:ind w:left="2632" w:hanging="180"/>
      </w:pPr>
      <w:rPr>
        <w:rFonts w:cs="Times New Roman"/>
      </w:rPr>
    </w:lvl>
    <w:lvl w:ilvl="3" w:tplc="0409000F" w:tentative="1">
      <w:start w:val="1"/>
      <w:numFmt w:val="decimal"/>
      <w:lvlText w:val="%4."/>
      <w:lvlJc w:val="left"/>
      <w:pPr>
        <w:tabs>
          <w:tab w:val="num" w:pos="3352"/>
        </w:tabs>
        <w:ind w:left="3352" w:hanging="360"/>
      </w:pPr>
      <w:rPr>
        <w:rFonts w:cs="Times New Roman"/>
      </w:rPr>
    </w:lvl>
    <w:lvl w:ilvl="4" w:tplc="04090019" w:tentative="1">
      <w:start w:val="1"/>
      <w:numFmt w:val="lowerLetter"/>
      <w:lvlText w:val="%5."/>
      <w:lvlJc w:val="left"/>
      <w:pPr>
        <w:tabs>
          <w:tab w:val="num" w:pos="4072"/>
        </w:tabs>
        <w:ind w:left="4072" w:hanging="360"/>
      </w:pPr>
      <w:rPr>
        <w:rFonts w:cs="Times New Roman"/>
      </w:rPr>
    </w:lvl>
    <w:lvl w:ilvl="5" w:tplc="0409001B" w:tentative="1">
      <w:start w:val="1"/>
      <w:numFmt w:val="lowerRoman"/>
      <w:lvlText w:val="%6."/>
      <w:lvlJc w:val="right"/>
      <w:pPr>
        <w:tabs>
          <w:tab w:val="num" w:pos="4792"/>
        </w:tabs>
        <w:ind w:left="4792" w:hanging="180"/>
      </w:pPr>
      <w:rPr>
        <w:rFonts w:cs="Times New Roman"/>
      </w:rPr>
    </w:lvl>
    <w:lvl w:ilvl="6" w:tplc="0409000F" w:tentative="1">
      <w:start w:val="1"/>
      <w:numFmt w:val="decimal"/>
      <w:lvlText w:val="%7."/>
      <w:lvlJc w:val="left"/>
      <w:pPr>
        <w:tabs>
          <w:tab w:val="num" w:pos="5512"/>
        </w:tabs>
        <w:ind w:left="5512" w:hanging="360"/>
      </w:pPr>
      <w:rPr>
        <w:rFonts w:cs="Times New Roman"/>
      </w:rPr>
    </w:lvl>
    <w:lvl w:ilvl="7" w:tplc="04090019" w:tentative="1">
      <w:start w:val="1"/>
      <w:numFmt w:val="lowerLetter"/>
      <w:lvlText w:val="%8."/>
      <w:lvlJc w:val="left"/>
      <w:pPr>
        <w:tabs>
          <w:tab w:val="num" w:pos="6232"/>
        </w:tabs>
        <w:ind w:left="6232" w:hanging="360"/>
      </w:pPr>
      <w:rPr>
        <w:rFonts w:cs="Times New Roman"/>
      </w:rPr>
    </w:lvl>
    <w:lvl w:ilvl="8" w:tplc="0409001B" w:tentative="1">
      <w:start w:val="1"/>
      <w:numFmt w:val="lowerRoman"/>
      <w:lvlText w:val="%9."/>
      <w:lvlJc w:val="right"/>
      <w:pPr>
        <w:tabs>
          <w:tab w:val="num" w:pos="6952"/>
        </w:tabs>
        <w:ind w:left="6952" w:hanging="180"/>
      </w:pPr>
      <w:rPr>
        <w:rFonts w:cs="Times New Roman"/>
      </w:rPr>
    </w:lvl>
  </w:abstractNum>
  <w:abstractNum w:abstractNumId="3" w15:restartNumberingAfterBreak="0">
    <w:nsid w:val="15B444EE"/>
    <w:multiLevelType w:val="singleLevel"/>
    <w:tmpl w:val="36F0DF82"/>
    <w:lvl w:ilvl="0">
      <w:start w:val="1"/>
      <w:numFmt w:val="lowerLetter"/>
      <w:lvlText w:val="(%1)"/>
      <w:lvlJc w:val="left"/>
      <w:pPr>
        <w:tabs>
          <w:tab w:val="num" w:pos="360"/>
        </w:tabs>
        <w:ind w:left="360" w:hanging="360"/>
      </w:pPr>
      <w:rPr>
        <w:rFonts w:cs="Times New Roman" w:hint="default"/>
        <w:b/>
      </w:rPr>
    </w:lvl>
  </w:abstractNum>
  <w:abstractNum w:abstractNumId="4" w15:restartNumberingAfterBreak="0">
    <w:nsid w:val="161A1F5E"/>
    <w:multiLevelType w:val="singleLevel"/>
    <w:tmpl w:val="30BE6116"/>
    <w:lvl w:ilvl="0">
      <w:start w:val="5"/>
      <w:numFmt w:val="bullet"/>
      <w:lvlText w:val="-"/>
      <w:lvlJc w:val="left"/>
      <w:pPr>
        <w:tabs>
          <w:tab w:val="num" w:pos="360"/>
        </w:tabs>
        <w:ind w:left="360" w:hanging="360"/>
      </w:pPr>
      <w:rPr>
        <w:rFonts w:hint="default"/>
      </w:rPr>
    </w:lvl>
  </w:abstractNum>
  <w:abstractNum w:abstractNumId="5" w15:restartNumberingAfterBreak="0">
    <w:nsid w:val="1A091093"/>
    <w:multiLevelType w:val="hybridMultilevel"/>
    <w:tmpl w:val="455416B8"/>
    <w:lvl w:ilvl="0" w:tplc="9D32373C">
      <w:start w:val="1"/>
      <w:numFmt w:val="upperRoman"/>
      <w:lvlText w:val="%1."/>
      <w:lvlJc w:val="left"/>
      <w:pPr>
        <w:ind w:left="810" w:hanging="720"/>
      </w:pPr>
      <w:rPr>
        <w:rFonts w:hint="default"/>
      </w:rPr>
    </w:lvl>
    <w:lvl w:ilvl="1" w:tplc="041B0019" w:tentative="1">
      <w:start w:val="1"/>
      <w:numFmt w:val="lowerLetter"/>
      <w:lvlText w:val="%2."/>
      <w:lvlJc w:val="left"/>
      <w:pPr>
        <w:ind w:left="1170" w:hanging="360"/>
      </w:pPr>
    </w:lvl>
    <w:lvl w:ilvl="2" w:tplc="041B001B" w:tentative="1">
      <w:start w:val="1"/>
      <w:numFmt w:val="lowerRoman"/>
      <w:lvlText w:val="%3."/>
      <w:lvlJc w:val="right"/>
      <w:pPr>
        <w:ind w:left="1890" w:hanging="180"/>
      </w:pPr>
    </w:lvl>
    <w:lvl w:ilvl="3" w:tplc="041B000F" w:tentative="1">
      <w:start w:val="1"/>
      <w:numFmt w:val="decimal"/>
      <w:lvlText w:val="%4."/>
      <w:lvlJc w:val="left"/>
      <w:pPr>
        <w:ind w:left="2610" w:hanging="360"/>
      </w:pPr>
    </w:lvl>
    <w:lvl w:ilvl="4" w:tplc="041B0019" w:tentative="1">
      <w:start w:val="1"/>
      <w:numFmt w:val="lowerLetter"/>
      <w:lvlText w:val="%5."/>
      <w:lvlJc w:val="left"/>
      <w:pPr>
        <w:ind w:left="3330" w:hanging="360"/>
      </w:pPr>
    </w:lvl>
    <w:lvl w:ilvl="5" w:tplc="041B001B" w:tentative="1">
      <w:start w:val="1"/>
      <w:numFmt w:val="lowerRoman"/>
      <w:lvlText w:val="%6."/>
      <w:lvlJc w:val="right"/>
      <w:pPr>
        <w:ind w:left="4050" w:hanging="180"/>
      </w:pPr>
    </w:lvl>
    <w:lvl w:ilvl="6" w:tplc="041B000F" w:tentative="1">
      <w:start w:val="1"/>
      <w:numFmt w:val="decimal"/>
      <w:lvlText w:val="%7."/>
      <w:lvlJc w:val="left"/>
      <w:pPr>
        <w:ind w:left="4770" w:hanging="360"/>
      </w:pPr>
    </w:lvl>
    <w:lvl w:ilvl="7" w:tplc="041B0019" w:tentative="1">
      <w:start w:val="1"/>
      <w:numFmt w:val="lowerLetter"/>
      <w:lvlText w:val="%8."/>
      <w:lvlJc w:val="left"/>
      <w:pPr>
        <w:ind w:left="5490" w:hanging="360"/>
      </w:pPr>
    </w:lvl>
    <w:lvl w:ilvl="8" w:tplc="041B001B" w:tentative="1">
      <w:start w:val="1"/>
      <w:numFmt w:val="lowerRoman"/>
      <w:lvlText w:val="%9."/>
      <w:lvlJc w:val="right"/>
      <w:pPr>
        <w:ind w:left="6210" w:hanging="180"/>
      </w:pPr>
    </w:lvl>
  </w:abstractNum>
  <w:abstractNum w:abstractNumId="6" w15:restartNumberingAfterBreak="0">
    <w:nsid w:val="1C7D1952"/>
    <w:multiLevelType w:val="hybridMultilevel"/>
    <w:tmpl w:val="3A7296C4"/>
    <w:lvl w:ilvl="0" w:tplc="6660CD6E">
      <w:start w:val="1"/>
      <w:numFmt w:val="bullet"/>
      <w:lvlText w:val="–"/>
      <w:lvlJc w:val="left"/>
      <w:pPr>
        <w:tabs>
          <w:tab w:val="num" w:pos="766"/>
        </w:tabs>
        <w:ind w:left="766" w:hanging="340"/>
      </w:pPr>
      <w:rPr>
        <w:rFonts w:ascii="Times New Roman" w:hAnsi="Times New Roman" w:hint="default"/>
      </w:rPr>
    </w:lvl>
    <w:lvl w:ilvl="1" w:tplc="041B0003" w:tentative="1">
      <w:start w:val="1"/>
      <w:numFmt w:val="bullet"/>
      <w:lvlText w:val="o"/>
      <w:lvlJc w:val="left"/>
      <w:pPr>
        <w:tabs>
          <w:tab w:val="num" w:pos="1866"/>
        </w:tabs>
        <w:ind w:left="1866" w:hanging="360"/>
      </w:pPr>
      <w:rPr>
        <w:rFonts w:ascii="Courier New" w:hAnsi="Courier New" w:hint="default"/>
      </w:rPr>
    </w:lvl>
    <w:lvl w:ilvl="2" w:tplc="041B0005" w:tentative="1">
      <w:start w:val="1"/>
      <w:numFmt w:val="bullet"/>
      <w:lvlText w:val=""/>
      <w:lvlJc w:val="left"/>
      <w:pPr>
        <w:tabs>
          <w:tab w:val="num" w:pos="2586"/>
        </w:tabs>
        <w:ind w:left="2586" w:hanging="360"/>
      </w:pPr>
      <w:rPr>
        <w:rFonts w:ascii="Wingdings" w:hAnsi="Wingdings" w:hint="default"/>
      </w:rPr>
    </w:lvl>
    <w:lvl w:ilvl="3" w:tplc="041B0001" w:tentative="1">
      <w:start w:val="1"/>
      <w:numFmt w:val="bullet"/>
      <w:lvlText w:val=""/>
      <w:lvlJc w:val="left"/>
      <w:pPr>
        <w:tabs>
          <w:tab w:val="num" w:pos="3306"/>
        </w:tabs>
        <w:ind w:left="3306" w:hanging="360"/>
      </w:pPr>
      <w:rPr>
        <w:rFonts w:ascii="Symbol" w:hAnsi="Symbol" w:hint="default"/>
      </w:rPr>
    </w:lvl>
    <w:lvl w:ilvl="4" w:tplc="041B0003" w:tentative="1">
      <w:start w:val="1"/>
      <w:numFmt w:val="bullet"/>
      <w:lvlText w:val="o"/>
      <w:lvlJc w:val="left"/>
      <w:pPr>
        <w:tabs>
          <w:tab w:val="num" w:pos="4026"/>
        </w:tabs>
        <w:ind w:left="4026" w:hanging="360"/>
      </w:pPr>
      <w:rPr>
        <w:rFonts w:ascii="Courier New" w:hAnsi="Courier New" w:hint="default"/>
      </w:rPr>
    </w:lvl>
    <w:lvl w:ilvl="5" w:tplc="041B0005" w:tentative="1">
      <w:start w:val="1"/>
      <w:numFmt w:val="bullet"/>
      <w:lvlText w:val=""/>
      <w:lvlJc w:val="left"/>
      <w:pPr>
        <w:tabs>
          <w:tab w:val="num" w:pos="4746"/>
        </w:tabs>
        <w:ind w:left="4746" w:hanging="360"/>
      </w:pPr>
      <w:rPr>
        <w:rFonts w:ascii="Wingdings" w:hAnsi="Wingdings" w:hint="default"/>
      </w:rPr>
    </w:lvl>
    <w:lvl w:ilvl="6" w:tplc="041B0001" w:tentative="1">
      <w:start w:val="1"/>
      <w:numFmt w:val="bullet"/>
      <w:lvlText w:val=""/>
      <w:lvlJc w:val="left"/>
      <w:pPr>
        <w:tabs>
          <w:tab w:val="num" w:pos="5466"/>
        </w:tabs>
        <w:ind w:left="5466" w:hanging="360"/>
      </w:pPr>
      <w:rPr>
        <w:rFonts w:ascii="Symbol" w:hAnsi="Symbol" w:hint="default"/>
      </w:rPr>
    </w:lvl>
    <w:lvl w:ilvl="7" w:tplc="041B0003" w:tentative="1">
      <w:start w:val="1"/>
      <w:numFmt w:val="bullet"/>
      <w:lvlText w:val="o"/>
      <w:lvlJc w:val="left"/>
      <w:pPr>
        <w:tabs>
          <w:tab w:val="num" w:pos="6186"/>
        </w:tabs>
        <w:ind w:left="6186" w:hanging="360"/>
      </w:pPr>
      <w:rPr>
        <w:rFonts w:ascii="Courier New" w:hAnsi="Courier New" w:hint="default"/>
      </w:rPr>
    </w:lvl>
    <w:lvl w:ilvl="8" w:tplc="041B0005" w:tentative="1">
      <w:start w:val="1"/>
      <w:numFmt w:val="bullet"/>
      <w:lvlText w:val=""/>
      <w:lvlJc w:val="left"/>
      <w:pPr>
        <w:tabs>
          <w:tab w:val="num" w:pos="6906"/>
        </w:tabs>
        <w:ind w:left="6906" w:hanging="360"/>
      </w:pPr>
      <w:rPr>
        <w:rFonts w:ascii="Wingdings" w:hAnsi="Wingdings" w:hint="default"/>
      </w:rPr>
    </w:lvl>
  </w:abstractNum>
  <w:abstractNum w:abstractNumId="7" w15:restartNumberingAfterBreak="0">
    <w:nsid w:val="1D2A1A4E"/>
    <w:multiLevelType w:val="hybridMultilevel"/>
    <w:tmpl w:val="B034514E"/>
    <w:lvl w:ilvl="0" w:tplc="6660CD6E">
      <w:start w:val="1"/>
      <w:numFmt w:val="bullet"/>
      <w:lvlText w:val="–"/>
      <w:lvlJc w:val="left"/>
      <w:pPr>
        <w:tabs>
          <w:tab w:val="num" w:pos="766"/>
        </w:tabs>
        <w:ind w:left="766" w:hanging="340"/>
      </w:pPr>
      <w:rPr>
        <w:rFonts w:ascii="Times New Roman" w:hAnsi="Times New Roman" w:hint="default"/>
      </w:rPr>
    </w:lvl>
    <w:lvl w:ilvl="1" w:tplc="041B0003" w:tentative="1">
      <w:start w:val="1"/>
      <w:numFmt w:val="bullet"/>
      <w:lvlText w:val="o"/>
      <w:lvlJc w:val="left"/>
      <w:pPr>
        <w:tabs>
          <w:tab w:val="num" w:pos="1866"/>
        </w:tabs>
        <w:ind w:left="1866" w:hanging="360"/>
      </w:pPr>
      <w:rPr>
        <w:rFonts w:ascii="Courier New" w:hAnsi="Courier New" w:hint="default"/>
      </w:rPr>
    </w:lvl>
    <w:lvl w:ilvl="2" w:tplc="041B0005" w:tentative="1">
      <w:start w:val="1"/>
      <w:numFmt w:val="bullet"/>
      <w:lvlText w:val=""/>
      <w:lvlJc w:val="left"/>
      <w:pPr>
        <w:tabs>
          <w:tab w:val="num" w:pos="2586"/>
        </w:tabs>
        <w:ind w:left="2586" w:hanging="360"/>
      </w:pPr>
      <w:rPr>
        <w:rFonts w:ascii="Wingdings" w:hAnsi="Wingdings" w:hint="default"/>
      </w:rPr>
    </w:lvl>
    <w:lvl w:ilvl="3" w:tplc="041B0001" w:tentative="1">
      <w:start w:val="1"/>
      <w:numFmt w:val="bullet"/>
      <w:lvlText w:val=""/>
      <w:lvlJc w:val="left"/>
      <w:pPr>
        <w:tabs>
          <w:tab w:val="num" w:pos="3306"/>
        </w:tabs>
        <w:ind w:left="3306" w:hanging="360"/>
      </w:pPr>
      <w:rPr>
        <w:rFonts w:ascii="Symbol" w:hAnsi="Symbol" w:hint="default"/>
      </w:rPr>
    </w:lvl>
    <w:lvl w:ilvl="4" w:tplc="041B0003" w:tentative="1">
      <w:start w:val="1"/>
      <w:numFmt w:val="bullet"/>
      <w:lvlText w:val="o"/>
      <w:lvlJc w:val="left"/>
      <w:pPr>
        <w:tabs>
          <w:tab w:val="num" w:pos="4026"/>
        </w:tabs>
        <w:ind w:left="4026" w:hanging="360"/>
      </w:pPr>
      <w:rPr>
        <w:rFonts w:ascii="Courier New" w:hAnsi="Courier New" w:hint="default"/>
      </w:rPr>
    </w:lvl>
    <w:lvl w:ilvl="5" w:tplc="041B0005" w:tentative="1">
      <w:start w:val="1"/>
      <w:numFmt w:val="bullet"/>
      <w:lvlText w:val=""/>
      <w:lvlJc w:val="left"/>
      <w:pPr>
        <w:tabs>
          <w:tab w:val="num" w:pos="4746"/>
        </w:tabs>
        <w:ind w:left="4746" w:hanging="360"/>
      </w:pPr>
      <w:rPr>
        <w:rFonts w:ascii="Wingdings" w:hAnsi="Wingdings" w:hint="default"/>
      </w:rPr>
    </w:lvl>
    <w:lvl w:ilvl="6" w:tplc="041B0001" w:tentative="1">
      <w:start w:val="1"/>
      <w:numFmt w:val="bullet"/>
      <w:lvlText w:val=""/>
      <w:lvlJc w:val="left"/>
      <w:pPr>
        <w:tabs>
          <w:tab w:val="num" w:pos="5466"/>
        </w:tabs>
        <w:ind w:left="5466" w:hanging="360"/>
      </w:pPr>
      <w:rPr>
        <w:rFonts w:ascii="Symbol" w:hAnsi="Symbol" w:hint="default"/>
      </w:rPr>
    </w:lvl>
    <w:lvl w:ilvl="7" w:tplc="041B0003" w:tentative="1">
      <w:start w:val="1"/>
      <w:numFmt w:val="bullet"/>
      <w:lvlText w:val="o"/>
      <w:lvlJc w:val="left"/>
      <w:pPr>
        <w:tabs>
          <w:tab w:val="num" w:pos="6186"/>
        </w:tabs>
        <w:ind w:left="6186" w:hanging="360"/>
      </w:pPr>
      <w:rPr>
        <w:rFonts w:ascii="Courier New" w:hAnsi="Courier New" w:hint="default"/>
      </w:rPr>
    </w:lvl>
    <w:lvl w:ilvl="8" w:tplc="041B0005" w:tentative="1">
      <w:start w:val="1"/>
      <w:numFmt w:val="bullet"/>
      <w:lvlText w:val=""/>
      <w:lvlJc w:val="left"/>
      <w:pPr>
        <w:tabs>
          <w:tab w:val="num" w:pos="6906"/>
        </w:tabs>
        <w:ind w:left="6906" w:hanging="360"/>
      </w:pPr>
      <w:rPr>
        <w:rFonts w:ascii="Wingdings" w:hAnsi="Wingdings" w:hint="default"/>
      </w:rPr>
    </w:lvl>
  </w:abstractNum>
  <w:abstractNum w:abstractNumId="8" w15:restartNumberingAfterBreak="0">
    <w:nsid w:val="24480A66"/>
    <w:multiLevelType w:val="singleLevel"/>
    <w:tmpl w:val="0409000F"/>
    <w:lvl w:ilvl="0">
      <w:start w:val="1"/>
      <w:numFmt w:val="decimal"/>
      <w:lvlText w:val="%1."/>
      <w:lvlJc w:val="left"/>
      <w:pPr>
        <w:tabs>
          <w:tab w:val="num" w:pos="450"/>
        </w:tabs>
        <w:ind w:left="450" w:hanging="360"/>
      </w:pPr>
      <w:rPr>
        <w:rFonts w:cs="Times New Roman"/>
      </w:rPr>
    </w:lvl>
  </w:abstractNum>
  <w:abstractNum w:abstractNumId="9" w15:restartNumberingAfterBreak="0">
    <w:nsid w:val="268B5771"/>
    <w:multiLevelType w:val="hybridMultilevel"/>
    <w:tmpl w:val="9BE411E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0" w15:restartNumberingAfterBreak="0">
    <w:nsid w:val="36BE61C3"/>
    <w:multiLevelType w:val="singleLevel"/>
    <w:tmpl w:val="E6BC554C"/>
    <w:lvl w:ilvl="0">
      <w:start w:val="1"/>
      <w:numFmt w:val="decimal"/>
      <w:pStyle w:val="Nadpis2"/>
      <w:lvlText w:val="%1."/>
      <w:lvlJc w:val="left"/>
      <w:pPr>
        <w:tabs>
          <w:tab w:val="num" w:pos="360"/>
        </w:tabs>
        <w:ind w:left="360" w:hanging="360"/>
      </w:pPr>
      <w:rPr>
        <w:rFonts w:cs="Times New Roman" w:hint="default"/>
      </w:rPr>
    </w:lvl>
  </w:abstractNum>
  <w:abstractNum w:abstractNumId="11" w15:restartNumberingAfterBreak="0">
    <w:nsid w:val="42074114"/>
    <w:multiLevelType w:val="hybridMultilevel"/>
    <w:tmpl w:val="D99AA040"/>
    <w:lvl w:ilvl="0" w:tplc="6660CD6E">
      <w:start w:val="1"/>
      <w:numFmt w:val="bullet"/>
      <w:lvlText w:val="–"/>
      <w:lvlJc w:val="left"/>
      <w:pPr>
        <w:tabs>
          <w:tab w:val="num" w:pos="766"/>
        </w:tabs>
        <w:ind w:left="766" w:hanging="340"/>
      </w:pPr>
      <w:rPr>
        <w:rFonts w:ascii="Times New Roman" w:hAnsi="Times New Roman" w:hint="default"/>
      </w:rPr>
    </w:lvl>
    <w:lvl w:ilvl="1" w:tplc="041B0003" w:tentative="1">
      <w:start w:val="1"/>
      <w:numFmt w:val="bullet"/>
      <w:lvlText w:val="o"/>
      <w:lvlJc w:val="left"/>
      <w:pPr>
        <w:tabs>
          <w:tab w:val="num" w:pos="2292"/>
        </w:tabs>
        <w:ind w:left="2292" w:hanging="360"/>
      </w:pPr>
      <w:rPr>
        <w:rFonts w:ascii="Courier New" w:hAnsi="Courier New" w:hint="default"/>
      </w:rPr>
    </w:lvl>
    <w:lvl w:ilvl="2" w:tplc="041B0005" w:tentative="1">
      <w:start w:val="1"/>
      <w:numFmt w:val="bullet"/>
      <w:lvlText w:val=""/>
      <w:lvlJc w:val="left"/>
      <w:pPr>
        <w:tabs>
          <w:tab w:val="num" w:pos="3012"/>
        </w:tabs>
        <w:ind w:left="3012" w:hanging="360"/>
      </w:pPr>
      <w:rPr>
        <w:rFonts w:ascii="Wingdings" w:hAnsi="Wingdings" w:hint="default"/>
      </w:rPr>
    </w:lvl>
    <w:lvl w:ilvl="3" w:tplc="041B0001" w:tentative="1">
      <w:start w:val="1"/>
      <w:numFmt w:val="bullet"/>
      <w:lvlText w:val=""/>
      <w:lvlJc w:val="left"/>
      <w:pPr>
        <w:tabs>
          <w:tab w:val="num" w:pos="3732"/>
        </w:tabs>
        <w:ind w:left="3732" w:hanging="360"/>
      </w:pPr>
      <w:rPr>
        <w:rFonts w:ascii="Symbol" w:hAnsi="Symbol" w:hint="default"/>
      </w:rPr>
    </w:lvl>
    <w:lvl w:ilvl="4" w:tplc="041B0003" w:tentative="1">
      <w:start w:val="1"/>
      <w:numFmt w:val="bullet"/>
      <w:lvlText w:val="o"/>
      <w:lvlJc w:val="left"/>
      <w:pPr>
        <w:tabs>
          <w:tab w:val="num" w:pos="4452"/>
        </w:tabs>
        <w:ind w:left="4452" w:hanging="360"/>
      </w:pPr>
      <w:rPr>
        <w:rFonts w:ascii="Courier New" w:hAnsi="Courier New" w:hint="default"/>
      </w:rPr>
    </w:lvl>
    <w:lvl w:ilvl="5" w:tplc="041B0005" w:tentative="1">
      <w:start w:val="1"/>
      <w:numFmt w:val="bullet"/>
      <w:lvlText w:val=""/>
      <w:lvlJc w:val="left"/>
      <w:pPr>
        <w:tabs>
          <w:tab w:val="num" w:pos="5172"/>
        </w:tabs>
        <w:ind w:left="5172" w:hanging="360"/>
      </w:pPr>
      <w:rPr>
        <w:rFonts w:ascii="Wingdings" w:hAnsi="Wingdings" w:hint="default"/>
      </w:rPr>
    </w:lvl>
    <w:lvl w:ilvl="6" w:tplc="041B0001" w:tentative="1">
      <w:start w:val="1"/>
      <w:numFmt w:val="bullet"/>
      <w:lvlText w:val=""/>
      <w:lvlJc w:val="left"/>
      <w:pPr>
        <w:tabs>
          <w:tab w:val="num" w:pos="5892"/>
        </w:tabs>
        <w:ind w:left="5892" w:hanging="360"/>
      </w:pPr>
      <w:rPr>
        <w:rFonts w:ascii="Symbol" w:hAnsi="Symbol" w:hint="default"/>
      </w:rPr>
    </w:lvl>
    <w:lvl w:ilvl="7" w:tplc="041B0003" w:tentative="1">
      <w:start w:val="1"/>
      <w:numFmt w:val="bullet"/>
      <w:lvlText w:val="o"/>
      <w:lvlJc w:val="left"/>
      <w:pPr>
        <w:tabs>
          <w:tab w:val="num" w:pos="6612"/>
        </w:tabs>
        <w:ind w:left="6612" w:hanging="360"/>
      </w:pPr>
      <w:rPr>
        <w:rFonts w:ascii="Courier New" w:hAnsi="Courier New" w:hint="default"/>
      </w:rPr>
    </w:lvl>
    <w:lvl w:ilvl="8" w:tplc="041B0005" w:tentative="1">
      <w:start w:val="1"/>
      <w:numFmt w:val="bullet"/>
      <w:lvlText w:val=""/>
      <w:lvlJc w:val="left"/>
      <w:pPr>
        <w:tabs>
          <w:tab w:val="num" w:pos="7332"/>
        </w:tabs>
        <w:ind w:left="7332" w:hanging="360"/>
      </w:pPr>
      <w:rPr>
        <w:rFonts w:ascii="Wingdings" w:hAnsi="Wingdings" w:hint="default"/>
      </w:rPr>
    </w:lvl>
  </w:abstractNum>
  <w:abstractNum w:abstractNumId="12" w15:restartNumberingAfterBreak="0">
    <w:nsid w:val="6C8E62C6"/>
    <w:multiLevelType w:val="hybridMultilevel"/>
    <w:tmpl w:val="2B20D13A"/>
    <w:lvl w:ilvl="0" w:tplc="1100B188">
      <w:start w:val="1"/>
      <w:numFmt w:val="upperRoman"/>
      <w:lvlText w:val="%1."/>
      <w:lvlJc w:val="left"/>
      <w:pPr>
        <w:ind w:left="720" w:hanging="720"/>
      </w:pPr>
      <w:rPr>
        <w:rFonts w:hint="default"/>
      </w:rPr>
    </w:lvl>
    <w:lvl w:ilvl="1" w:tplc="041B0019" w:tentative="1">
      <w:start w:val="1"/>
      <w:numFmt w:val="lowerLetter"/>
      <w:lvlText w:val="%2."/>
      <w:lvlJc w:val="left"/>
      <w:pPr>
        <w:ind w:left="1170" w:hanging="360"/>
      </w:pPr>
    </w:lvl>
    <w:lvl w:ilvl="2" w:tplc="041B001B" w:tentative="1">
      <w:start w:val="1"/>
      <w:numFmt w:val="lowerRoman"/>
      <w:lvlText w:val="%3."/>
      <w:lvlJc w:val="right"/>
      <w:pPr>
        <w:ind w:left="1890" w:hanging="180"/>
      </w:pPr>
    </w:lvl>
    <w:lvl w:ilvl="3" w:tplc="041B000F" w:tentative="1">
      <w:start w:val="1"/>
      <w:numFmt w:val="decimal"/>
      <w:lvlText w:val="%4."/>
      <w:lvlJc w:val="left"/>
      <w:pPr>
        <w:ind w:left="2610" w:hanging="360"/>
      </w:pPr>
    </w:lvl>
    <w:lvl w:ilvl="4" w:tplc="041B0019" w:tentative="1">
      <w:start w:val="1"/>
      <w:numFmt w:val="lowerLetter"/>
      <w:lvlText w:val="%5."/>
      <w:lvlJc w:val="left"/>
      <w:pPr>
        <w:ind w:left="3330" w:hanging="360"/>
      </w:pPr>
    </w:lvl>
    <w:lvl w:ilvl="5" w:tplc="041B001B" w:tentative="1">
      <w:start w:val="1"/>
      <w:numFmt w:val="lowerRoman"/>
      <w:lvlText w:val="%6."/>
      <w:lvlJc w:val="right"/>
      <w:pPr>
        <w:ind w:left="4050" w:hanging="180"/>
      </w:pPr>
    </w:lvl>
    <w:lvl w:ilvl="6" w:tplc="041B000F" w:tentative="1">
      <w:start w:val="1"/>
      <w:numFmt w:val="decimal"/>
      <w:lvlText w:val="%7."/>
      <w:lvlJc w:val="left"/>
      <w:pPr>
        <w:ind w:left="4770" w:hanging="360"/>
      </w:pPr>
    </w:lvl>
    <w:lvl w:ilvl="7" w:tplc="041B0019" w:tentative="1">
      <w:start w:val="1"/>
      <w:numFmt w:val="lowerLetter"/>
      <w:lvlText w:val="%8."/>
      <w:lvlJc w:val="left"/>
      <w:pPr>
        <w:ind w:left="5490" w:hanging="360"/>
      </w:pPr>
    </w:lvl>
    <w:lvl w:ilvl="8" w:tplc="041B001B" w:tentative="1">
      <w:start w:val="1"/>
      <w:numFmt w:val="lowerRoman"/>
      <w:lvlText w:val="%9."/>
      <w:lvlJc w:val="right"/>
      <w:pPr>
        <w:ind w:left="6210" w:hanging="180"/>
      </w:pPr>
    </w:lvl>
  </w:abstractNum>
  <w:abstractNum w:abstractNumId="13" w15:restartNumberingAfterBreak="0">
    <w:nsid w:val="73473C13"/>
    <w:multiLevelType w:val="singleLevel"/>
    <w:tmpl w:val="2A50B936"/>
    <w:lvl w:ilvl="0">
      <w:start w:val="1"/>
      <w:numFmt w:val="upperLetter"/>
      <w:pStyle w:val="Nadpis1"/>
      <w:lvlText w:val="%1."/>
      <w:lvlJc w:val="left"/>
      <w:pPr>
        <w:tabs>
          <w:tab w:val="num" w:pos="450"/>
        </w:tabs>
        <w:ind w:left="450" w:hanging="360"/>
      </w:pPr>
      <w:rPr>
        <w:rFonts w:cs="Times New Roman" w:hint="default"/>
      </w:rPr>
    </w:lvl>
  </w:abstractNum>
  <w:abstractNum w:abstractNumId="14" w15:restartNumberingAfterBreak="0">
    <w:nsid w:val="74B22D21"/>
    <w:multiLevelType w:val="hybridMultilevel"/>
    <w:tmpl w:val="FFB42D56"/>
    <w:lvl w:ilvl="0" w:tplc="A6CEDE30">
      <w:start w:val="1"/>
      <w:numFmt w:val="bullet"/>
      <w:lvlText w:val="–"/>
      <w:lvlJc w:val="left"/>
      <w:pPr>
        <w:tabs>
          <w:tab w:val="num" w:pos="720"/>
        </w:tabs>
        <w:ind w:left="720" w:hanging="360"/>
      </w:pPr>
      <w:rPr>
        <w:rFonts w:ascii="Times New Roman" w:hAnsi="Times New Roman"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8CD316A"/>
    <w:multiLevelType w:val="singleLevel"/>
    <w:tmpl w:val="28081C9C"/>
    <w:lvl w:ilvl="0">
      <w:start w:val="1"/>
      <w:numFmt w:val="lowerLetter"/>
      <w:pStyle w:val="Pismenka"/>
      <w:lvlText w:val="(%1)"/>
      <w:lvlJc w:val="left"/>
      <w:pPr>
        <w:tabs>
          <w:tab w:val="num" w:pos="360"/>
        </w:tabs>
        <w:ind w:left="360" w:hanging="360"/>
      </w:pPr>
      <w:rPr>
        <w:rFonts w:cs="Times New Roman" w:hint="default"/>
      </w:rPr>
    </w:lvl>
  </w:abstractNum>
  <w:abstractNum w:abstractNumId="16" w15:restartNumberingAfterBreak="0">
    <w:nsid w:val="7D8531CC"/>
    <w:multiLevelType w:val="hybridMultilevel"/>
    <w:tmpl w:val="52AE7564"/>
    <w:lvl w:ilvl="0" w:tplc="6660CD6E">
      <w:start w:val="1"/>
      <w:numFmt w:val="bullet"/>
      <w:lvlText w:val="–"/>
      <w:lvlJc w:val="left"/>
      <w:pPr>
        <w:tabs>
          <w:tab w:val="num" w:pos="766"/>
        </w:tabs>
        <w:ind w:left="766" w:hanging="340"/>
      </w:pPr>
      <w:rPr>
        <w:rFonts w:ascii="Times New Roman" w:hAnsi="Times New Roman" w:hint="default"/>
      </w:rPr>
    </w:lvl>
    <w:lvl w:ilvl="1" w:tplc="041B0003" w:tentative="1">
      <w:start w:val="1"/>
      <w:numFmt w:val="bullet"/>
      <w:lvlText w:val="o"/>
      <w:lvlJc w:val="left"/>
      <w:pPr>
        <w:tabs>
          <w:tab w:val="num" w:pos="1866"/>
        </w:tabs>
        <w:ind w:left="1866" w:hanging="360"/>
      </w:pPr>
      <w:rPr>
        <w:rFonts w:ascii="Courier New" w:hAnsi="Courier New" w:hint="default"/>
      </w:rPr>
    </w:lvl>
    <w:lvl w:ilvl="2" w:tplc="041B0005" w:tentative="1">
      <w:start w:val="1"/>
      <w:numFmt w:val="bullet"/>
      <w:lvlText w:val=""/>
      <w:lvlJc w:val="left"/>
      <w:pPr>
        <w:tabs>
          <w:tab w:val="num" w:pos="2586"/>
        </w:tabs>
        <w:ind w:left="2586" w:hanging="360"/>
      </w:pPr>
      <w:rPr>
        <w:rFonts w:ascii="Wingdings" w:hAnsi="Wingdings" w:hint="default"/>
      </w:rPr>
    </w:lvl>
    <w:lvl w:ilvl="3" w:tplc="041B0001" w:tentative="1">
      <w:start w:val="1"/>
      <w:numFmt w:val="bullet"/>
      <w:lvlText w:val=""/>
      <w:lvlJc w:val="left"/>
      <w:pPr>
        <w:tabs>
          <w:tab w:val="num" w:pos="3306"/>
        </w:tabs>
        <w:ind w:left="3306" w:hanging="360"/>
      </w:pPr>
      <w:rPr>
        <w:rFonts w:ascii="Symbol" w:hAnsi="Symbol" w:hint="default"/>
      </w:rPr>
    </w:lvl>
    <w:lvl w:ilvl="4" w:tplc="041B0003" w:tentative="1">
      <w:start w:val="1"/>
      <w:numFmt w:val="bullet"/>
      <w:lvlText w:val="o"/>
      <w:lvlJc w:val="left"/>
      <w:pPr>
        <w:tabs>
          <w:tab w:val="num" w:pos="4026"/>
        </w:tabs>
        <w:ind w:left="4026" w:hanging="360"/>
      </w:pPr>
      <w:rPr>
        <w:rFonts w:ascii="Courier New" w:hAnsi="Courier New" w:hint="default"/>
      </w:rPr>
    </w:lvl>
    <w:lvl w:ilvl="5" w:tplc="041B0005" w:tentative="1">
      <w:start w:val="1"/>
      <w:numFmt w:val="bullet"/>
      <w:lvlText w:val=""/>
      <w:lvlJc w:val="left"/>
      <w:pPr>
        <w:tabs>
          <w:tab w:val="num" w:pos="4746"/>
        </w:tabs>
        <w:ind w:left="4746" w:hanging="360"/>
      </w:pPr>
      <w:rPr>
        <w:rFonts w:ascii="Wingdings" w:hAnsi="Wingdings" w:hint="default"/>
      </w:rPr>
    </w:lvl>
    <w:lvl w:ilvl="6" w:tplc="041B0001" w:tentative="1">
      <w:start w:val="1"/>
      <w:numFmt w:val="bullet"/>
      <w:lvlText w:val=""/>
      <w:lvlJc w:val="left"/>
      <w:pPr>
        <w:tabs>
          <w:tab w:val="num" w:pos="5466"/>
        </w:tabs>
        <w:ind w:left="5466" w:hanging="360"/>
      </w:pPr>
      <w:rPr>
        <w:rFonts w:ascii="Symbol" w:hAnsi="Symbol" w:hint="default"/>
      </w:rPr>
    </w:lvl>
    <w:lvl w:ilvl="7" w:tplc="041B0003" w:tentative="1">
      <w:start w:val="1"/>
      <w:numFmt w:val="bullet"/>
      <w:lvlText w:val="o"/>
      <w:lvlJc w:val="left"/>
      <w:pPr>
        <w:tabs>
          <w:tab w:val="num" w:pos="6186"/>
        </w:tabs>
        <w:ind w:left="6186" w:hanging="360"/>
      </w:pPr>
      <w:rPr>
        <w:rFonts w:ascii="Courier New" w:hAnsi="Courier New" w:hint="default"/>
      </w:rPr>
    </w:lvl>
    <w:lvl w:ilvl="8" w:tplc="041B0005" w:tentative="1">
      <w:start w:val="1"/>
      <w:numFmt w:val="bullet"/>
      <w:lvlText w:val=""/>
      <w:lvlJc w:val="left"/>
      <w:pPr>
        <w:tabs>
          <w:tab w:val="num" w:pos="6906"/>
        </w:tabs>
        <w:ind w:left="6906" w:hanging="360"/>
      </w:pPr>
      <w:rPr>
        <w:rFonts w:ascii="Wingdings" w:hAnsi="Wingdings" w:hint="default"/>
      </w:rPr>
    </w:lvl>
  </w:abstractNum>
  <w:num w:numId="1">
    <w:abstractNumId w:val="13"/>
  </w:num>
  <w:num w:numId="2">
    <w:abstractNumId w:val="10"/>
  </w:num>
  <w:num w:numId="3">
    <w:abstractNumId w:val="8"/>
  </w:num>
  <w:num w:numId="4">
    <w:abstractNumId w:val="14"/>
  </w:num>
  <w:num w:numId="5">
    <w:abstractNumId w:val="0"/>
    <w:lvlOverride w:ilvl="0">
      <w:lvl w:ilvl="0">
        <w:start w:val="1"/>
        <w:numFmt w:val="bullet"/>
        <w:lvlText w:val="-"/>
        <w:legacy w:legacy="1" w:legacySpace="0" w:legacyIndent="360"/>
        <w:lvlJc w:val="left"/>
        <w:pPr>
          <w:ind w:left="360" w:hanging="360"/>
        </w:pPr>
      </w:lvl>
    </w:lvlOverride>
  </w:num>
  <w:num w:numId="6">
    <w:abstractNumId w:val="10"/>
  </w:num>
  <w:num w:numId="7">
    <w:abstractNumId w:val="15"/>
  </w:num>
  <w:num w:numId="8">
    <w:abstractNumId w:val="2"/>
  </w:num>
  <w:num w:numId="9">
    <w:abstractNumId w:val="10"/>
  </w:num>
  <w:num w:numId="10">
    <w:abstractNumId w:val="10"/>
  </w:num>
  <w:num w:numId="11">
    <w:abstractNumId w:val="3"/>
  </w:num>
  <w:num w:numId="12">
    <w:abstractNumId w:val="10"/>
  </w:num>
  <w:num w:numId="13">
    <w:abstractNumId w:val="10"/>
  </w:num>
  <w:num w:numId="14">
    <w:abstractNumId w:val="4"/>
  </w:num>
  <w:num w:numId="15">
    <w:abstractNumId w:val="10"/>
    <w:lvlOverride w:ilvl="0">
      <w:startOverride w:val="1"/>
    </w:lvlOverride>
  </w:num>
  <w:num w:numId="16">
    <w:abstractNumId w:val="10"/>
    <w:lvlOverride w:ilvl="0">
      <w:startOverride w:val="1"/>
    </w:lvlOverride>
  </w:num>
  <w:num w:numId="17">
    <w:abstractNumId w:val="10"/>
    <w:lvlOverride w:ilvl="0">
      <w:startOverride w:val="1"/>
    </w:lvlOverride>
  </w:num>
  <w:num w:numId="18">
    <w:abstractNumId w:val="10"/>
    <w:lvlOverride w:ilvl="0">
      <w:startOverride w:val="1"/>
    </w:lvlOverride>
  </w:num>
  <w:num w:numId="19">
    <w:abstractNumId w:val="1"/>
  </w:num>
  <w:num w:numId="20">
    <w:abstractNumId w:val="10"/>
    <w:lvlOverride w:ilvl="0">
      <w:startOverride w:val="1"/>
    </w:lvlOverride>
  </w:num>
  <w:num w:numId="21">
    <w:abstractNumId w:val="11"/>
  </w:num>
  <w:num w:numId="22">
    <w:abstractNumId w:val="7"/>
  </w:num>
  <w:num w:numId="23">
    <w:abstractNumId w:val="6"/>
  </w:num>
  <w:num w:numId="24">
    <w:abstractNumId w:val="16"/>
  </w:num>
  <w:num w:numId="25">
    <w:abstractNumId w:val="10"/>
    <w:lvlOverride w:ilvl="0">
      <w:startOverride w:val="1"/>
    </w:lvlOverride>
  </w:num>
  <w:num w:numId="26">
    <w:abstractNumId w:val="10"/>
    <w:lvlOverride w:ilvl="0">
      <w:startOverride w:val="1"/>
    </w:lvlOverride>
  </w:num>
  <w:num w:numId="27">
    <w:abstractNumId w:val="10"/>
    <w:lvlOverride w:ilvl="0">
      <w:startOverride w:val="1"/>
    </w:lvlOverride>
  </w:num>
  <w:num w:numId="28">
    <w:abstractNumId w:val="10"/>
    <w:lvlOverride w:ilvl="0">
      <w:startOverride w:val="1"/>
    </w:lvlOverride>
  </w:num>
  <w:num w:numId="29">
    <w:abstractNumId w:val="10"/>
    <w:lvlOverride w:ilvl="0">
      <w:startOverride w:val="1"/>
    </w:lvlOverride>
  </w:num>
  <w:num w:numId="30">
    <w:abstractNumId w:val="10"/>
  </w:num>
  <w:num w:numId="31">
    <w:abstractNumId w:val="10"/>
  </w:num>
  <w:num w:numId="32">
    <w:abstractNumId w:val="10"/>
  </w:num>
  <w:num w:numId="33">
    <w:abstractNumId w:val="10"/>
  </w:num>
  <w:num w:numId="34">
    <w:abstractNumId w:val="8"/>
    <w:lvlOverride w:ilvl="0">
      <w:startOverride w:val="1"/>
    </w:lvlOverride>
  </w:num>
  <w:num w:numId="35">
    <w:abstractNumId w:val="10"/>
  </w:num>
  <w:num w:numId="36">
    <w:abstractNumId w:val="9"/>
  </w:num>
  <w:num w:numId="37">
    <w:abstractNumId w:val="12"/>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128"/>
    <w:rsid w:val="0000290B"/>
    <w:rsid w:val="00002921"/>
    <w:rsid w:val="00003C63"/>
    <w:rsid w:val="000040F5"/>
    <w:rsid w:val="00006F02"/>
    <w:rsid w:val="0000751D"/>
    <w:rsid w:val="00010822"/>
    <w:rsid w:val="00010C2A"/>
    <w:rsid w:val="0001368E"/>
    <w:rsid w:val="000137E4"/>
    <w:rsid w:val="00014193"/>
    <w:rsid w:val="00014743"/>
    <w:rsid w:val="00014FF4"/>
    <w:rsid w:val="00017791"/>
    <w:rsid w:val="00020553"/>
    <w:rsid w:val="000331E6"/>
    <w:rsid w:val="000339F6"/>
    <w:rsid w:val="000422E9"/>
    <w:rsid w:val="00042B55"/>
    <w:rsid w:val="000438EA"/>
    <w:rsid w:val="0004421F"/>
    <w:rsid w:val="00045A17"/>
    <w:rsid w:val="000470EC"/>
    <w:rsid w:val="00047F1C"/>
    <w:rsid w:val="00052495"/>
    <w:rsid w:val="000542EF"/>
    <w:rsid w:val="00054361"/>
    <w:rsid w:val="000543EB"/>
    <w:rsid w:val="00056438"/>
    <w:rsid w:val="00060E62"/>
    <w:rsid w:val="00061ACB"/>
    <w:rsid w:val="00062334"/>
    <w:rsid w:val="0006283E"/>
    <w:rsid w:val="000658BA"/>
    <w:rsid w:val="0007172A"/>
    <w:rsid w:val="000721BF"/>
    <w:rsid w:val="00073853"/>
    <w:rsid w:val="000738DF"/>
    <w:rsid w:val="00075B41"/>
    <w:rsid w:val="00076486"/>
    <w:rsid w:val="00076528"/>
    <w:rsid w:val="00080BFC"/>
    <w:rsid w:val="00082DB2"/>
    <w:rsid w:val="0008425B"/>
    <w:rsid w:val="00085A3A"/>
    <w:rsid w:val="00085ECF"/>
    <w:rsid w:val="00086A82"/>
    <w:rsid w:val="00092C39"/>
    <w:rsid w:val="00093CC4"/>
    <w:rsid w:val="000965D0"/>
    <w:rsid w:val="000A1BBA"/>
    <w:rsid w:val="000A6FBA"/>
    <w:rsid w:val="000B4629"/>
    <w:rsid w:val="000B6195"/>
    <w:rsid w:val="000C2309"/>
    <w:rsid w:val="000C2D66"/>
    <w:rsid w:val="000C3179"/>
    <w:rsid w:val="000C5B28"/>
    <w:rsid w:val="000C68B3"/>
    <w:rsid w:val="000D1132"/>
    <w:rsid w:val="000D22FF"/>
    <w:rsid w:val="000D2AFA"/>
    <w:rsid w:val="000D70E1"/>
    <w:rsid w:val="000E04C5"/>
    <w:rsid w:val="000E051D"/>
    <w:rsid w:val="000E6161"/>
    <w:rsid w:val="000E6FA7"/>
    <w:rsid w:val="000F1306"/>
    <w:rsid w:val="000F27A2"/>
    <w:rsid w:val="000F2CA1"/>
    <w:rsid w:val="000F40C4"/>
    <w:rsid w:val="000F5666"/>
    <w:rsid w:val="00102C1A"/>
    <w:rsid w:val="00103B71"/>
    <w:rsid w:val="001070AC"/>
    <w:rsid w:val="0011221A"/>
    <w:rsid w:val="00112CB0"/>
    <w:rsid w:val="00113479"/>
    <w:rsid w:val="00116192"/>
    <w:rsid w:val="00120F3A"/>
    <w:rsid w:val="00127D9C"/>
    <w:rsid w:val="00130EA0"/>
    <w:rsid w:val="00136273"/>
    <w:rsid w:val="00136A4A"/>
    <w:rsid w:val="00137086"/>
    <w:rsid w:val="001405A9"/>
    <w:rsid w:val="00141691"/>
    <w:rsid w:val="00141832"/>
    <w:rsid w:val="001418C0"/>
    <w:rsid w:val="00142465"/>
    <w:rsid w:val="00142DDE"/>
    <w:rsid w:val="00142EAD"/>
    <w:rsid w:val="001438AC"/>
    <w:rsid w:val="0014486E"/>
    <w:rsid w:val="00144878"/>
    <w:rsid w:val="00146904"/>
    <w:rsid w:val="00147FB3"/>
    <w:rsid w:val="0015039D"/>
    <w:rsid w:val="00150708"/>
    <w:rsid w:val="00154C32"/>
    <w:rsid w:val="00156231"/>
    <w:rsid w:val="0015674B"/>
    <w:rsid w:val="00157F91"/>
    <w:rsid w:val="00160AAA"/>
    <w:rsid w:val="001635F7"/>
    <w:rsid w:val="001647F4"/>
    <w:rsid w:val="001675D0"/>
    <w:rsid w:val="0017062C"/>
    <w:rsid w:val="001712A8"/>
    <w:rsid w:val="0017267A"/>
    <w:rsid w:val="001733C5"/>
    <w:rsid w:val="00173BB4"/>
    <w:rsid w:val="001750E2"/>
    <w:rsid w:val="00177051"/>
    <w:rsid w:val="00177C59"/>
    <w:rsid w:val="00180A04"/>
    <w:rsid w:val="00181AA2"/>
    <w:rsid w:val="00187AA0"/>
    <w:rsid w:val="00193C9E"/>
    <w:rsid w:val="00193E61"/>
    <w:rsid w:val="00193EE6"/>
    <w:rsid w:val="0019458A"/>
    <w:rsid w:val="001A1C39"/>
    <w:rsid w:val="001A566C"/>
    <w:rsid w:val="001A5B77"/>
    <w:rsid w:val="001A70E8"/>
    <w:rsid w:val="001A7CD7"/>
    <w:rsid w:val="001A7EC4"/>
    <w:rsid w:val="001B50B8"/>
    <w:rsid w:val="001B5156"/>
    <w:rsid w:val="001B5855"/>
    <w:rsid w:val="001B7D66"/>
    <w:rsid w:val="001C0A6A"/>
    <w:rsid w:val="001C52F9"/>
    <w:rsid w:val="001D06F0"/>
    <w:rsid w:val="001D0918"/>
    <w:rsid w:val="001D1700"/>
    <w:rsid w:val="001D181E"/>
    <w:rsid w:val="001D1C3A"/>
    <w:rsid w:val="001D3DCB"/>
    <w:rsid w:val="001D4E8A"/>
    <w:rsid w:val="001D507C"/>
    <w:rsid w:val="001D64AF"/>
    <w:rsid w:val="001E03E6"/>
    <w:rsid w:val="001E3EC9"/>
    <w:rsid w:val="001E670C"/>
    <w:rsid w:val="001E7DAF"/>
    <w:rsid w:val="001F2E9E"/>
    <w:rsid w:val="001F338B"/>
    <w:rsid w:val="001F4C8D"/>
    <w:rsid w:val="001F5C4B"/>
    <w:rsid w:val="001F6ADF"/>
    <w:rsid w:val="00205CAF"/>
    <w:rsid w:val="002124E0"/>
    <w:rsid w:val="002130D8"/>
    <w:rsid w:val="0021533B"/>
    <w:rsid w:val="00216D5D"/>
    <w:rsid w:val="00216E9E"/>
    <w:rsid w:val="0021757D"/>
    <w:rsid w:val="002225DB"/>
    <w:rsid w:val="00225398"/>
    <w:rsid w:val="00226D12"/>
    <w:rsid w:val="00227F14"/>
    <w:rsid w:val="002304B6"/>
    <w:rsid w:val="002418D5"/>
    <w:rsid w:val="00243C4F"/>
    <w:rsid w:val="00251BF2"/>
    <w:rsid w:val="002528FA"/>
    <w:rsid w:val="00254418"/>
    <w:rsid w:val="0025662A"/>
    <w:rsid w:val="00257EF3"/>
    <w:rsid w:val="00260C4C"/>
    <w:rsid w:val="00262CD4"/>
    <w:rsid w:val="0026353F"/>
    <w:rsid w:val="002722A2"/>
    <w:rsid w:val="0027287B"/>
    <w:rsid w:val="0027298D"/>
    <w:rsid w:val="00274AE2"/>
    <w:rsid w:val="00275ADA"/>
    <w:rsid w:val="00280D5B"/>
    <w:rsid w:val="002829F9"/>
    <w:rsid w:val="00283139"/>
    <w:rsid w:val="00286A3D"/>
    <w:rsid w:val="00286EDB"/>
    <w:rsid w:val="00287997"/>
    <w:rsid w:val="00290A84"/>
    <w:rsid w:val="00292E7C"/>
    <w:rsid w:val="00294BAE"/>
    <w:rsid w:val="002977CC"/>
    <w:rsid w:val="002A1B2E"/>
    <w:rsid w:val="002A264B"/>
    <w:rsid w:val="002A7256"/>
    <w:rsid w:val="002A7CDF"/>
    <w:rsid w:val="002B18F6"/>
    <w:rsid w:val="002B2E36"/>
    <w:rsid w:val="002B2FE5"/>
    <w:rsid w:val="002B486A"/>
    <w:rsid w:val="002B5CAC"/>
    <w:rsid w:val="002B6DF3"/>
    <w:rsid w:val="002C1771"/>
    <w:rsid w:val="002D15BB"/>
    <w:rsid w:val="002D2C39"/>
    <w:rsid w:val="002D4AEE"/>
    <w:rsid w:val="002D69FB"/>
    <w:rsid w:val="002D7CAE"/>
    <w:rsid w:val="002E0E7B"/>
    <w:rsid w:val="002E233F"/>
    <w:rsid w:val="002E35FC"/>
    <w:rsid w:val="002F05C7"/>
    <w:rsid w:val="002F126A"/>
    <w:rsid w:val="002F1A0A"/>
    <w:rsid w:val="002F3C09"/>
    <w:rsid w:val="002F4EE1"/>
    <w:rsid w:val="002F5513"/>
    <w:rsid w:val="002F626C"/>
    <w:rsid w:val="002F67A4"/>
    <w:rsid w:val="002F770F"/>
    <w:rsid w:val="00301031"/>
    <w:rsid w:val="00301C73"/>
    <w:rsid w:val="00301CB4"/>
    <w:rsid w:val="0030246A"/>
    <w:rsid w:val="00305652"/>
    <w:rsid w:val="00305E46"/>
    <w:rsid w:val="00307540"/>
    <w:rsid w:val="00310B30"/>
    <w:rsid w:val="003147AA"/>
    <w:rsid w:val="0032275A"/>
    <w:rsid w:val="00331A99"/>
    <w:rsid w:val="00331FD6"/>
    <w:rsid w:val="003340C9"/>
    <w:rsid w:val="00335C04"/>
    <w:rsid w:val="0034119B"/>
    <w:rsid w:val="00342E08"/>
    <w:rsid w:val="003434C5"/>
    <w:rsid w:val="00344A38"/>
    <w:rsid w:val="00347DCC"/>
    <w:rsid w:val="003519EB"/>
    <w:rsid w:val="00351AE8"/>
    <w:rsid w:val="003602A8"/>
    <w:rsid w:val="00361B2A"/>
    <w:rsid w:val="00362A82"/>
    <w:rsid w:val="00362E9A"/>
    <w:rsid w:val="0036502B"/>
    <w:rsid w:val="00367A6E"/>
    <w:rsid w:val="00374292"/>
    <w:rsid w:val="0038030E"/>
    <w:rsid w:val="00382ACB"/>
    <w:rsid w:val="00385F61"/>
    <w:rsid w:val="00386C27"/>
    <w:rsid w:val="003A2714"/>
    <w:rsid w:val="003A5C21"/>
    <w:rsid w:val="003B56D5"/>
    <w:rsid w:val="003B591C"/>
    <w:rsid w:val="003C3FDF"/>
    <w:rsid w:val="003C5930"/>
    <w:rsid w:val="003C6B7B"/>
    <w:rsid w:val="003D0F0C"/>
    <w:rsid w:val="003D140B"/>
    <w:rsid w:val="003D287F"/>
    <w:rsid w:val="003D306A"/>
    <w:rsid w:val="003D5127"/>
    <w:rsid w:val="003E0E2D"/>
    <w:rsid w:val="003E0FA2"/>
    <w:rsid w:val="003E3440"/>
    <w:rsid w:val="003E43D0"/>
    <w:rsid w:val="003E5365"/>
    <w:rsid w:val="003E675C"/>
    <w:rsid w:val="003F18F9"/>
    <w:rsid w:val="003F28D5"/>
    <w:rsid w:val="003F3DD0"/>
    <w:rsid w:val="003F4F79"/>
    <w:rsid w:val="003F6079"/>
    <w:rsid w:val="003F6621"/>
    <w:rsid w:val="004007CA"/>
    <w:rsid w:val="00401F9E"/>
    <w:rsid w:val="004027CF"/>
    <w:rsid w:val="00403230"/>
    <w:rsid w:val="00403DC7"/>
    <w:rsid w:val="004046CA"/>
    <w:rsid w:val="00406809"/>
    <w:rsid w:val="004119EA"/>
    <w:rsid w:val="00420D87"/>
    <w:rsid w:val="00423A9F"/>
    <w:rsid w:val="00423AFA"/>
    <w:rsid w:val="004242EB"/>
    <w:rsid w:val="004262D7"/>
    <w:rsid w:val="00427C69"/>
    <w:rsid w:val="00430148"/>
    <w:rsid w:val="004313A2"/>
    <w:rsid w:val="004330B3"/>
    <w:rsid w:val="00435A80"/>
    <w:rsid w:val="00437B22"/>
    <w:rsid w:val="004409F5"/>
    <w:rsid w:val="00442157"/>
    <w:rsid w:val="00444033"/>
    <w:rsid w:val="00445E07"/>
    <w:rsid w:val="00446423"/>
    <w:rsid w:val="0044737A"/>
    <w:rsid w:val="004508CD"/>
    <w:rsid w:val="00452C96"/>
    <w:rsid w:val="0045465E"/>
    <w:rsid w:val="00460337"/>
    <w:rsid w:val="00460A08"/>
    <w:rsid w:val="0046138C"/>
    <w:rsid w:val="00461D2D"/>
    <w:rsid w:val="00463367"/>
    <w:rsid w:val="004659D3"/>
    <w:rsid w:val="00467BEB"/>
    <w:rsid w:val="00470904"/>
    <w:rsid w:val="00474EE5"/>
    <w:rsid w:val="00480EC6"/>
    <w:rsid w:val="00483A16"/>
    <w:rsid w:val="004913E8"/>
    <w:rsid w:val="00491AF0"/>
    <w:rsid w:val="00491C69"/>
    <w:rsid w:val="00492DBC"/>
    <w:rsid w:val="0049324A"/>
    <w:rsid w:val="00494C85"/>
    <w:rsid w:val="00496A4E"/>
    <w:rsid w:val="004A045E"/>
    <w:rsid w:val="004A085B"/>
    <w:rsid w:val="004A4D80"/>
    <w:rsid w:val="004A5AFF"/>
    <w:rsid w:val="004A6C40"/>
    <w:rsid w:val="004B0CEB"/>
    <w:rsid w:val="004B2651"/>
    <w:rsid w:val="004B599A"/>
    <w:rsid w:val="004B69E1"/>
    <w:rsid w:val="004C1C27"/>
    <w:rsid w:val="004C20E1"/>
    <w:rsid w:val="004C2A04"/>
    <w:rsid w:val="004C4FDC"/>
    <w:rsid w:val="004C540D"/>
    <w:rsid w:val="004C5886"/>
    <w:rsid w:val="004D25F3"/>
    <w:rsid w:val="004D3B14"/>
    <w:rsid w:val="004D3B4A"/>
    <w:rsid w:val="004D5AEE"/>
    <w:rsid w:val="004D67B7"/>
    <w:rsid w:val="004D76CF"/>
    <w:rsid w:val="004E0BAA"/>
    <w:rsid w:val="004E1733"/>
    <w:rsid w:val="004E3861"/>
    <w:rsid w:val="004E493F"/>
    <w:rsid w:val="004E7CD0"/>
    <w:rsid w:val="004F2A77"/>
    <w:rsid w:val="0050061B"/>
    <w:rsid w:val="00500769"/>
    <w:rsid w:val="00506E0F"/>
    <w:rsid w:val="00507B8B"/>
    <w:rsid w:val="005131C0"/>
    <w:rsid w:val="005138B1"/>
    <w:rsid w:val="00515879"/>
    <w:rsid w:val="00520E2A"/>
    <w:rsid w:val="005241DE"/>
    <w:rsid w:val="00527501"/>
    <w:rsid w:val="00530BC0"/>
    <w:rsid w:val="005323AC"/>
    <w:rsid w:val="00535C3F"/>
    <w:rsid w:val="00541789"/>
    <w:rsid w:val="00542006"/>
    <w:rsid w:val="0054259E"/>
    <w:rsid w:val="00545B77"/>
    <w:rsid w:val="00545F01"/>
    <w:rsid w:val="00546BD3"/>
    <w:rsid w:val="0054786F"/>
    <w:rsid w:val="0055002E"/>
    <w:rsid w:val="00553AFB"/>
    <w:rsid w:val="00555672"/>
    <w:rsid w:val="00556325"/>
    <w:rsid w:val="00564B72"/>
    <w:rsid w:val="00566671"/>
    <w:rsid w:val="0057480F"/>
    <w:rsid w:val="00577BFD"/>
    <w:rsid w:val="0058479C"/>
    <w:rsid w:val="00586677"/>
    <w:rsid w:val="00592B74"/>
    <w:rsid w:val="005936A7"/>
    <w:rsid w:val="005970DB"/>
    <w:rsid w:val="005A38F9"/>
    <w:rsid w:val="005A3C59"/>
    <w:rsid w:val="005A735E"/>
    <w:rsid w:val="005A76F0"/>
    <w:rsid w:val="005A7FDD"/>
    <w:rsid w:val="005B0AD9"/>
    <w:rsid w:val="005B316E"/>
    <w:rsid w:val="005B4970"/>
    <w:rsid w:val="005B508D"/>
    <w:rsid w:val="005C014A"/>
    <w:rsid w:val="005C1E69"/>
    <w:rsid w:val="005C50FC"/>
    <w:rsid w:val="005C558A"/>
    <w:rsid w:val="005C6657"/>
    <w:rsid w:val="005C7EF8"/>
    <w:rsid w:val="005D2149"/>
    <w:rsid w:val="005D25E4"/>
    <w:rsid w:val="005D2A89"/>
    <w:rsid w:val="005D2B77"/>
    <w:rsid w:val="005D4842"/>
    <w:rsid w:val="005D614C"/>
    <w:rsid w:val="005D73CD"/>
    <w:rsid w:val="005D7621"/>
    <w:rsid w:val="005D76A2"/>
    <w:rsid w:val="005E09B4"/>
    <w:rsid w:val="005E6626"/>
    <w:rsid w:val="005E75AD"/>
    <w:rsid w:val="005E7ED3"/>
    <w:rsid w:val="005F17D0"/>
    <w:rsid w:val="005F2BC8"/>
    <w:rsid w:val="005F5D4F"/>
    <w:rsid w:val="005F6E8B"/>
    <w:rsid w:val="005F7FDE"/>
    <w:rsid w:val="0060236A"/>
    <w:rsid w:val="00603EFB"/>
    <w:rsid w:val="006069D3"/>
    <w:rsid w:val="0061214F"/>
    <w:rsid w:val="00612ED2"/>
    <w:rsid w:val="00621CC0"/>
    <w:rsid w:val="006221F3"/>
    <w:rsid w:val="00626A76"/>
    <w:rsid w:val="00627B6C"/>
    <w:rsid w:val="00630386"/>
    <w:rsid w:val="006327C3"/>
    <w:rsid w:val="006339DC"/>
    <w:rsid w:val="0063773B"/>
    <w:rsid w:val="006406FF"/>
    <w:rsid w:val="00640895"/>
    <w:rsid w:val="00640B7C"/>
    <w:rsid w:val="00641554"/>
    <w:rsid w:val="00641A25"/>
    <w:rsid w:val="00641EB0"/>
    <w:rsid w:val="0064520D"/>
    <w:rsid w:val="006510AA"/>
    <w:rsid w:val="00651689"/>
    <w:rsid w:val="0065269E"/>
    <w:rsid w:val="00655BD8"/>
    <w:rsid w:val="006575EA"/>
    <w:rsid w:val="00662C03"/>
    <w:rsid w:val="00662C25"/>
    <w:rsid w:val="0066618F"/>
    <w:rsid w:val="0066739D"/>
    <w:rsid w:val="00671BB4"/>
    <w:rsid w:val="00671D93"/>
    <w:rsid w:val="00673481"/>
    <w:rsid w:val="006750FE"/>
    <w:rsid w:val="00680E47"/>
    <w:rsid w:val="0068537D"/>
    <w:rsid w:val="00690C2F"/>
    <w:rsid w:val="00693F89"/>
    <w:rsid w:val="00694931"/>
    <w:rsid w:val="00697F7C"/>
    <w:rsid w:val="006A10A6"/>
    <w:rsid w:val="006A3C75"/>
    <w:rsid w:val="006A737C"/>
    <w:rsid w:val="006B6813"/>
    <w:rsid w:val="006C0482"/>
    <w:rsid w:val="006C27AA"/>
    <w:rsid w:val="006C2DCC"/>
    <w:rsid w:val="006C2FAC"/>
    <w:rsid w:val="006C3C80"/>
    <w:rsid w:val="006D36EA"/>
    <w:rsid w:val="006D3D0B"/>
    <w:rsid w:val="006D4A0A"/>
    <w:rsid w:val="006D7585"/>
    <w:rsid w:val="006E00BC"/>
    <w:rsid w:val="006E554A"/>
    <w:rsid w:val="006E6284"/>
    <w:rsid w:val="006F0A0A"/>
    <w:rsid w:val="006F1FC5"/>
    <w:rsid w:val="006F28DA"/>
    <w:rsid w:val="006F3F03"/>
    <w:rsid w:val="00701F03"/>
    <w:rsid w:val="00703344"/>
    <w:rsid w:val="00713C45"/>
    <w:rsid w:val="00714597"/>
    <w:rsid w:val="00720702"/>
    <w:rsid w:val="00720EB3"/>
    <w:rsid w:val="00721C5F"/>
    <w:rsid w:val="0072695D"/>
    <w:rsid w:val="00726991"/>
    <w:rsid w:val="00727DD4"/>
    <w:rsid w:val="00741092"/>
    <w:rsid w:val="00742680"/>
    <w:rsid w:val="00742991"/>
    <w:rsid w:val="00746C9E"/>
    <w:rsid w:val="00750259"/>
    <w:rsid w:val="007508D8"/>
    <w:rsid w:val="0075139D"/>
    <w:rsid w:val="00751D3C"/>
    <w:rsid w:val="00754049"/>
    <w:rsid w:val="007543EF"/>
    <w:rsid w:val="00756CEB"/>
    <w:rsid w:val="00763691"/>
    <w:rsid w:val="007658EA"/>
    <w:rsid w:val="00765DD9"/>
    <w:rsid w:val="007675FC"/>
    <w:rsid w:val="0077399F"/>
    <w:rsid w:val="007752E5"/>
    <w:rsid w:val="00777324"/>
    <w:rsid w:val="0078754C"/>
    <w:rsid w:val="007902B7"/>
    <w:rsid w:val="0079191F"/>
    <w:rsid w:val="00796F1C"/>
    <w:rsid w:val="007A005F"/>
    <w:rsid w:val="007A1781"/>
    <w:rsid w:val="007A491D"/>
    <w:rsid w:val="007B2031"/>
    <w:rsid w:val="007B2E7A"/>
    <w:rsid w:val="007B314C"/>
    <w:rsid w:val="007B3A69"/>
    <w:rsid w:val="007B4C7F"/>
    <w:rsid w:val="007C2BE6"/>
    <w:rsid w:val="007C2EF7"/>
    <w:rsid w:val="007C309C"/>
    <w:rsid w:val="007C3B50"/>
    <w:rsid w:val="007C50B5"/>
    <w:rsid w:val="007C59E8"/>
    <w:rsid w:val="007C6157"/>
    <w:rsid w:val="007D3E38"/>
    <w:rsid w:val="007D44B0"/>
    <w:rsid w:val="007D6502"/>
    <w:rsid w:val="007D659E"/>
    <w:rsid w:val="007E2D2E"/>
    <w:rsid w:val="007E47FA"/>
    <w:rsid w:val="007E4E9F"/>
    <w:rsid w:val="007F4606"/>
    <w:rsid w:val="007F46F4"/>
    <w:rsid w:val="007F6B20"/>
    <w:rsid w:val="00800C13"/>
    <w:rsid w:val="0080548E"/>
    <w:rsid w:val="00805E5A"/>
    <w:rsid w:val="00806EE2"/>
    <w:rsid w:val="00815894"/>
    <w:rsid w:val="00815A32"/>
    <w:rsid w:val="008323FB"/>
    <w:rsid w:val="00832A9B"/>
    <w:rsid w:val="008337CE"/>
    <w:rsid w:val="008339A2"/>
    <w:rsid w:val="0083467A"/>
    <w:rsid w:val="00835948"/>
    <w:rsid w:val="0084608E"/>
    <w:rsid w:val="008500D0"/>
    <w:rsid w:val="00850DDB"/>
    <w:rsid w:val="008543BA"/>
    <w:rsid w:val="00854F71"/>
    <w:rsid w:val="00856A76"/>
    <w:rsid w:val="00857559"/>
    <w:rsid w:val="00857613"/>
    <w:rsid w:val="00861749"/>
    <w:rsid w:val="008648B4"/>
    <w:rsid w:val="00864CBA"/>
    <w:rsid w:val="00865A73"/>
    <w:rsid w:val="008669C1"/>
    <w:rsid w:val="00874443"/>
    <w:rsid w:val="00887683"/>
    <w:rsid w:val="00887821"/>
    <w:rsid w:val="00887C84"/>
    <w:rsid w:val="008958A5"/>
    <w:rsid w:val="0089652C"/>
    <w:rsid w:val="008A2D79"/>
    <w:rsid w:val="008A6903"/>
    <w:rsid w:val="008A6D28"/>
    <w:rsid w:val="008B1B50"/>
    <w:rsid w:val="008B1D3B"/>
    <w:rsid w:val="008B206F"/>
    <w:rsid w:val="008B275F"/>
    <w:rsid w:val="008B6694"/>
    <w:rsid w:val="008C0287"/>
    <w:rsid w:val="008D0944"/>
    <w:rsid w:val="008D2F11"/>
    <w:rsid w:val="008D387A"/>
    <w:rsid w:val="008D3CE9"/>
    <w:rsid w:val="008D7145"/>
    <w:rsid w:val="008E031D"/>
    <w:rsid w:val="008E04AE"/>
    <w:rsid w:val="008E56EC"/>
    <w:rsid w:val="008E68A4"/>
    <w:rsid w:val="008E6BB6"/>
    <w:rsid w:val="008F0030"/>
    <w:rsid w:val="008F0037"/>
    <w:rsid w:val="008F1015"/>
    <w:rsid w:val="008F1BF3"/>
    <w:rsid w:val="008F2EBC"/>
    <w:rsid w:val="0090016D"/>
    <w:rsid w:val="00900696"/>
    <w:rsid w:val="0090078A"/>
    <w:rsid w:val="00901CF7"/>
    <w:rsid w:val="009020D6"/>
    <w:rsid w:val="00904562"/>
    <w:rsid w:val="0091120B"/>
    <w:rsid w:val="009226CD"/>
    <w:rsid w:val="00922CED"/>
    <w:rsid w:val="00925DC4"/>
    <w:rsid w:val="00934D2B"/>
    <w:rsid w:val="00936126"/>
    <w:rsid w:val="00937616"/>
    <w:rsid w:val="00937EEA"/>
    <w:rsid w:val="00940B1D"/>
    <w:rsid w:val="00943291"/>
    <w:rsid w:val="009441EB"/>
    <w:rsid w:val="0094547E"/>
    <w:rsid w:val="009458E0"/>
    <w:rsid w:val="00947628"/>
    <w:rsid w:val="0095003F"/>
    <w:rsid w:val="00954399"/>
    <w:rsid w:val="0095652C"/>
    <w:rsid w:val="00962397"/>
    <w:rsid w:val="00963FB2"/>
    <w:rsid w:val="00965045"/>
    <w:rsid w:val="009738C3"/>
    <w:rsid w:val="009743BF"/>
    <w:rsid w:val="0097517A"/>
    <w:rsid w:val="00975499"/>
    <w:rsid w:val="00980D02"/>
    <w:rsid w:val="0098136C"/>
    <w:rsid w:val="0098431C"/>
    <w:rsid w:val="0098537D"/>
    <w:rsid w:val="00985C3F"/>
    <w:rsid w:val="00985D23"/>
    <w:rsid w:val="0098647C"/>
    <w:rsid w:val="00991C72"/>
    <w:rsid w:val="00996D7C"/>
    <w:rsid w:val="009A1CB6"/>
    <w:rsid w:val="009A69A7"/>
    <w:rsid w:val="009A6D85"/>
    <w:rsid w:val="009A76AE"/>
    <w:rsid w:val="009B0ABD"/>
    <w:rsid w:val="009B5024"/>
    <w:rsid w:val="009B60B7"/>
    <w:rsid w:val="009B7785"/>
    <w:rsid w:val="009D02E9"/>
    <w:rsid w:val="009D0700"/>
    <w:rsid w:val="009D2ECF"/>
    <w:rsid w:val="009D376D"/>
    <w:rsid w:val="009D6184"/>
    <w:rsid w:val="009E16EA"/>
    <w:rsid w:val="009E65D7"/>
    <w:rsid w:val="009E7781"/>
    <w:rsid w:val="009E7EF3"/>
    <w:rsid w:val="009F50D0"/>
    <w:rsid w:val="009F5CF7"/>
    <w:rsid w:val="009F614A"/>
    <w:rsid w:val="009F6927"/>
    <w:rsid w:val="009F6E38"/>
    <w:rsid w:val="00A012A4"/>
    <w:rsid w:val="00A0197B"/>
    <w:rsid w:val="00A01B4A"/>
    <w:rsid w:val="00A02942"/>
    <w:rsid w:val="00A0469E"/>
    <w:rsid w:val="00A05FBA"/>
    <w:rsid w:val="00A076A2"/>
    <w:rsid w:val="00A07873"/>
    <w:rsid w:val="00A13C5D"/>
    <w:rsid w:val="00A13E99"/>
    <w:rsid w:val="00A15BD0"/>
    <w:rsid w:val="00A2012A"/>
    <w:rsid w:val="00A247A7"/>
    <w:rsid w:val="00A25722"/>
    <w:rsid w:val="00A26359"/>
    <w:rsid w:val="00A31D3C"/>
    <w:rsid w:val="00A31DFF"/>
    <w:rsid w:val="00A32A86"/>
    <w:rsid w:val="00A33E2A"/>
    <w:rsid w:val="00A36157"/>
    <w:rsid w:val="00A3660C"/>
    <w:rsid w:val="00A40279"/>
    <w:rsid w:val="00A42674"/>
    <w:rsid w:val="00A4318D"/>
    <w:rsid w:val="00A53DFE"/>
    <w:rsid w:val="00A54B8A"/>
    <w:rsid w:val="00A5618F"/>
    <w:rsid w:val="00A562F1"/>
    <w:rsid w:val="00A61412"/>
    <w:rsid w:val="00A6375D"/>
    <w:rsid w:val="00A639F4"/>
    <w:rsid w:val="00A70B8E"/>
    <w:rsid w:val="00A7144F"/>
    <w:rsid w:val="00A72805"/>
    <w:rsid w:val="00A73577"/>
    <w:rsid w:val="00A8108C"/>
    <w:rsid w:val="00A8210A"/>
    <w:rsid w:val="00A82773"/>
    <w:rsid w:val="00A9048F"/>
    <w:rsid w:val="00A904E0"/>
    <w:rsid w:val="00A90554"/>
    <w:rsid w:val="00A90EB3"/>
    <w:rsid w:val="00A94188"/>
    <w:rsid w:val="00A947C7"/>
    <w:rsid w:val="00A95312"/>
    <w:rsid w:val="00AA5784"/>
    <w:rsid w:val="00AB3FDB"/>
    <w:rsid w:val="00AB43B7"/>
    <w:rsid w:val="00AB572C"/>
    <w:rsid w:val="00AB6B04"/>
    <w:rsid w:val="00AC050F"/>
    <w:rsid w:val="00AC12B2"/>
    <w:rsid w:val="00AC268A"/>
    <w:rsid w:val="00AC27B9"/>
    <w:rsid w:val="00AC5B1C"/>
    <w:rsid w:val="00AD4FCA"/>
    <w:rsid w:val="00AD6758"/>
    <w:rsid w:val="00AE413D"/>
    <w:rsid w:val="00AE4B65"/>
    <w:rsid w:val="00B0284D"/>
    <w:rsid w:val="00B03577"/>
    <w:rsid w:val="00B0368E"/>
    <w:rsid w:val="00B12204"/>
    <w:rsid w:val="00B12629"/>
    <w:rsid w:val="00B141AA"/>
    <w:rsid w:val="00B146E6"/>
    <w:rsid w:val="00B16669"/>
    <w:rsid w:val="00B221F6"/>
    <w:rsid w:val="00B239BA"/>
    <w:rsid w:val="00B2686B"/>
    <w:rsid w:val="00B27F50"/>
    <w:rsid w:val="00B30430"/>
    <w:rsid w:val="00B30B35"/>
    <w:rsid w:val="00B345EE"/>
    <w:rsid w:val="00B46332"/>
    <w:rsid w:val="00B46AED"/>
    <w:rsid w:val="00B51029"/>
    <w:rsid w:val="00B55A09"/>
    <w:rsid w:val="00B55D01"/>
    <w:rsid w:val="00B564FF"/>
    <w:rsid w:val="00B5781B"/>
    <w:rsid w:val="00B57D31"/>
    <w:rsid w:val="00B6076C"/>
    <w:rsid w:val="00B64E15"/>
    <w:rsid w:val="00B67573"/>
    <w:rsid w:val="00B719E0"/>
    <w:rsid w:val="00B71C86"/>
    <w:rsid w:val="00B73DAE"/>
    <w:rsid w:val="00B7570D"/>
    <w:rsid w:val="00B765D9"/>
    <w:rsid w:val="00B76C75"/>
    <w:rsid w:val="00B77494"/>
    <w:rsid w:val="00B80383"/>
    <w:rsid w:val="00B825EB"/>
    <w:rsid w:val="00B84860"/>
    <w:rsid w:val="00B85440"/>
    <w:rsid w:val="00B868C6"/>
    <w:rsid w:val="00B90BA1"/>
    <w:rsid w:val="00B92AC0"/>
    <w:rsid w:val="00B96BFB"/>
    <w:rsid w:val="00BA048B"/>
    <w:rsid w:val="00BA11AF"/>
    <w:rsid w:val="00BA3FB7"/>
    <w:rsid w:val="00BA65D7"/>
    <w:rsid w:val="00BA7EC5"/>
    <w:rsid w:val="00BB218F"/>
    <w:rsid w:val="00BB2336"/>
    <w:rsid w:val="00BC0068"/>
    <w:rsid w:val="00BC09C5"/>
    <w:rsid w:val="00BC351B"/>
    <w:rsid w:val="00BC631F"/>
    <w:rsid w:val="00BC64AD"/>
    <w:rsid w:val="00BD2BF9"/>
    <w:rsid w:val="00BD5F13"/>
    <w:rsid w:val="00BE075E"/>
    <w:rsid w:val="00BE188C"/>
    <w:rsid w:val="00BE1B47"/>
    <w:rsid w:val="00BE2E3F"/>
    <w:rsid w:val="00BE742A"/>
    <w:rsid w:val="00BE7D7B"/>
    <w:rsid w:val="00BF4CEE"/>
    <w:rsid w:val="00BF547D"/>
    <w:rsid w:val="00BF5CA9"/>
    <w:rsid w:val="00C0257D"/>
    <w:rsid w:val="00C02C96"/>
    <w:rsid w:val="00C03840"/>
    <w:rsid w:val="00C03B46"/>
    <w:rsid w:val="00C12F2A"/>
    <w:rsid w:val="00C13216"/>
    <w:rsid w:val="00C13866"/>
    <w:rsid w:val="00C15D40"/>
    <w:rsid w:val="00C16B00"/>
    <w:rsid w:val="00C228AB"/>
    <w:rsid w:val="00C22B63"/>
    <w:rsid w:val="00C22C68"/>
    <w:rsid w:val="00C235CB"/>
    <w:rsid w:val="00C24B6B"/>
    <w:rsid w:val="00C337A6"/>
    <w:rsid w:val="00C36C39"/>
    <w:rsid w:val="00C37CB8"/>
    <w:rsid w:val="00C41D35"/>
    <w:rsid w:val="00C4340F"/>
    <w:rsid w:val="00C44120"/>
    <w:rsid w:val="00C459DC"/>
    <w:rsid w:val="00C460D7"/>
    <w:rsid w:val="00C50493"/>
    <w:rsid w:val="00C520AC"/>
    <w:rsid w:val="00C56840"/>
    <w:rsid w:val="00C575CA"/>
    <w:rsid w:val="00C62C16"/>
    <w:rsid w:val="00C672BA"/>
    <w:rsid w:val="00C712A3"/>
    <w:rsid w:val="00C730D3"/>
    <w:rsid w:val="00C76D6A"/>
    <w:rsid w:val="00C83FF3"/>
    <w:rsid w:val="00C94FB8"/>
    <w:rsid w:val="00CA0147"/>
    <w:rsid w:val="00CA0574"/>
    <w:rsid w:val="00CA1CFF"/>
    <w:rsid w:val="00CA2A46"/>
    <w:rsid w:val="00CA441D"/>
    <w:rsid w:val="00CB0CD3"/>
    <w:rsid w:val="00CB211F"/>
    <w:rsid w:val="00CB3140"/>
    <w:rsid w:val="00CB62A6"/>
    <w:rsid w:val="00CB68A6"/>
    <w:rsid w:val="00CB7523"/>
    <w:rsid w:val="00CC153E"/>
    <w:rsid w:val="00CC1CA2"/>
    <w:rsid w:val="00CC3798"/>
    <w:rsid w:val="00CC4E24"/>
    <w:rsid w:val="00CC61CA"/>
    <w:rsid w:val="00CC7AEA"/>
    <w:rsid w:val="00CD3A8A"/>
    <w:rsid w:val="00CD4B1F"/>
    <w:rsid w:val="00CD4F6B"/>
    <w:rsid w:val="00CD6244"/>
    <w:rsid w:val="00CE3256"/>
    <w:rsid w:val="00CE4834"/>
    <w:rsid w:val="00CE612B"/>
    <w:rsid w:val="00CE7ECE"/>
    <w:rsid w:val="00CF0E7B"/>
    <w:rsid w:val="00CF2329"/>
    <w:rsid w:val="00CF2FC7"/>
    <w:rsid w:val="00CF4AFE"/>
    <w:rsid w:val="00CF4E80"/>
    <w:rsid w:val="00CF7C4C"/>
    <w:rsid w:val="00D00178"/>
    <w:rsid w:val="00D02B99"/>
    <w:rsid w:val="00D03C20"/>
    <w:rsid w:val="00D04670"/>
    <w:rsid w:val="00D04D91"/>
    <w:rsid w:val="00D068C6"/>
    <w:rsid w:val="00D1741D"/>
    <w:rsid w:val="00D21626"/>
    <w:rsid w:val="00D22773"/>
    <w:rsid w:val="00D229F3"/>
    <w:rsid w:val="00D23C01"/>
    <w:rsid w:val="00D23DE9"/>
    <w:rsid w:val="00D24870"/>
    <w:rsid w:val="00D25A22"/>
    <w:rsid w:val="00D26E90"/>
    <w:rsid w:val="00D27650"/>
    <w:rsid w:val="00D27659"/>
    <w:rsid w:val="00D34932"/>
    <w:rsid w:val="00D35F72"/>
    <w:rsid w:val="00D3659C"/>
    <w:rsid w:val="00D422DB"/>
    <w:rsid w:val="00D4302D"/>
    <w:rsid w:val="00D43F27"/>
    <w:rsid w:val="00D4583E"/>
    <w:rsid w:val="00D4614E"/>
    <w:rsid w:val="00D46E6E"/>
    <w:rsid w:val="00D473B4"/>
    <w:rsid w:val="00D50F57"/>
    <w:rsid w:val="00D529F9"/>
    <w:rsid w:val="00D54563"/>
    <w:rsid w:val="00D551EB"/>
    <w:rsid w:val="00D5565C"/>
    <w:rsid w:val="00D67432"/>
    <w:rsid w:val="00D70575"/>
    <w:rsid w:val="00D72087"/>
    <w:rsid w:val="00D75116"/>
    <w:rsid w:val="00D75C9B"/>
    <w:rsid w:val="00D7699A"/>
    <w:rsid w:val="00D81195"/>
    <w:rsid w:val="00D86B67"/>
    <w:rsid w:val="00D90AF1"/>
    <w:rsid w:val="00D91BEC"/>
    <w:rsid w:val="00D933FB"/>
    <w:rsid w:val="00D94D06"/>
    <w:rsid w:val="00D96466"/>
    <w:rsid w:val="00D96E87"/>
    <w:rsid w:val="00DA27F3"/>
    <w:rsid w:val="00DA2806"/>
    <w:rsid w:val="00DA73DB"/>
    <w:rsid w:val="00DB1FDB"/>
    <w:rsid w:val="00DB3487"/>
    <w:rsid w:val="00DB4BB7"/>
    <w:rsid w:val="00DB6709"/>
    <w:rsid w:val="00DB76F6"/>
    <w:rsid w:val="00DC2A64"/>
    <w:rsid w:val="00DC3C8C"/>
    <w:rsid w:val="00DC68C3"/>
    <w:rsid w:val="00DC790F"/>
    <w:rsid w:val="00DC7F2B"/>
    <w:rsid w:val="00DD0907"/>
    <w:rsid w:val="00DD0F67"/>
    <w:rsid w:val="00DD23C0"/>
    <w:rsid w:val="00DD43AB"/>
    <w:rsid w:val="00DE16DE"/>
    <w:rsid w:val="00DE176E"/>
    <w:rsid w:val="00DE1D1A"/>
    <w:rsid w:val="00DE358C"/>
    <w:rsid w:val="00DE5898"/>
    <w:rsid w:val="00DE6683"/>
    <w:rsid w:val="00DE7185"/>
    <w:rsid w:val="00DF1A4B"/>
    <w:rsid w:val="00DF5A64"/>
    <w:rsid w:val="00E12F0B"/>
    <w:rsid w:val="00E1390D"/>
    <w:rsid w:val="00E1728C"/>
    <w:rsid w:val="00E20465"/>
    <w:rsid w:val="00E231BA"/>
    <w:rsid w:val="00E25DEA"/>
    <w:rsid w:val="00E2794A"/>
    <w:rsid w:val="00E30043"/>
    <w:rsid w:val="00E34DCA"/>
    <w:rsid w:val="00E34E5E"/>
    <w:rsid w:val="00E3652A"/>
    <w:rsid w:val="00E369D0"/>
    <w:rsid w:val="00E3743A"/>
    <w:rsid w:val="00E45943"/>
    <w:rsid w:val="00E50116"/>
    <w:rsid w:val="00E53F7C"/>
    <w:rsid w:val="00E555B3"/>
    <w:rsid w:val="00E56466"/>
    <w:rsid w:val="00E5726F"/>
    <w:rsid w:val="00E57A51"/>
    <w:rsid w:val="00E626B1"/>
    <w:rsid w:val="00E627BF"/>
    <w:rsid w:val="00E62E5E"/>
    <w:rsid w:val="00E64D88"/>
    <w:rsid w:val="00E67534"/>
    <w:rsid w:val="00E67CFF"/>
    <w:rsid w:val="00E70730"/>
    <w:rsid w:val="00E72C65"/>
    <w:rsid w:val="00E77BCF"/>
    <w:rsid w:val="00E802E9"/>
    <w:rsid w:val="00E80605"/>
    <w:rsid w:val="00E9297E"/>
    <w:rsid w:val="00E9433E"/>
    <w:rsid w:val="00E95128"/>
    <w:rsid w:val="00E967E6"/>
    <w:rsid w:val="00EA7B8D"/>
    <w:rsid w:val="00EB0931"/>
    <w:rsid w:val="00EB0FF4"/>
    <w:rsid w:val="00EB1BB0"/>
    <w:rsid w:val="00EB2BD0"/>
    <w:rsid w:val="00EB4A49"/>
    <w:rsid w:val="00EC0820"/>
    <w:rsid w:val="00EC0FB4"/>
    <w:rsid w:val="00EC3F87"/>
    <w:rsid w:val="00EC44AA"/>
    <w:rsid w:val="00EC57CF"/>
    <w:rsid w:val="00ED005D"/>
    <w:rsid w:val="00ED1CF5"/>
    <w:rsid w:val="00ED1E98"/>
    <w:rsid w:val="00ED5F95"/>
    <w:rsid w:val="00ED67D4"/>
    <w:rsid w:val="00ED6E76"/>
    <w:rsid w:val="00EE0E21"/>
    <w:rsid w:val="00EE3024"/>
    <w:rsid w:val="00EE7C1E"/>
    <w:rsid w:val="00EF0B01"/>
    <w:rsid w:val="00EF158E"/>
    <w:rsid w:val="00EF34AE"/>
    <w:rsid w:val="00EF4E72"/>
    <w:rsid w:val="00EF688C"/>
    <w:rsid w:val="00F0029B"/>
    <w:rsid w:val="00F0114D"/>
    <w:rsid w:val="00F02AA7"/>
    <w:rsid w:val="00F04366"/>
    <w:rsid w:val="00F07B6F"/>
    <w:rsid w:val="00F10E0E"/>
    <w:rsid w:val="00F150F1"/>
    <w:rsid w:val="00F161E6"/>
    <w:rsid w:val="00F16F26"/>
    <w:rsid w:val="00F20205"/>
    <w:rsid w:val="00F20C4D"/>
    <w:rsid w:val="00F22792"/>
    <w:rsid w:val="00F22BD0"/>
    <w:rsid w:val="00F24EF7"/>
    <w:rsid w:val="00F263CA"/>
    <w:rsid w:val="00F27004"/>
    <w:rsid w:val="00F30259"/>
    <w:rsid w:val="00F30F38"/>
    <w:rsid w:val="00F31A00"/>
    <w:rsid w:val="00F3276A"/>
    <w:rsid w:val="00F33F48"/>
    <w:rsid w:val="00F37124"/>
    <w:rsid w:val="00F4385F"/>
    <w:rsid w:val="00F45E52"/>
    <w:rsid w:val="00F501FB"/>
    <w:rsid w:val="00F5250D"/>
    <w:rsid w:val="00F53DE6"/>
    <w:rsid w:val="00F54864"/>
    <w:rsid w:val="00F60F5B"/>
    <w:rsid w:val="00F6239B"/>
    <w:rsid w:val="00F648E1"/>
    <w:rsid w:val="00F66EE1"/>
    <w:rsid w:val="00F709E2"/>
    <w:rsid w:val="00F70C00"/>
    <w:rsid w:val="00F71552"/>
    <w:rsid w:val="00F71797"/>
    <w:rsid w:val="00F729DF"/>
    <w:rsid w:val="00F73DC8"/>
    <w:rsid w:val="00F74799"/>
    <w:rsid w:val="00F75DF5"/>
    <w:rsid w:val="00F77EF7"/>
    <w:rsid w:val="00F802C8"/>
    <w:rsid w:val="00F838BE"/>
    <w:rsid w:val="00F83A95"/>
    <w:rsid w:val="00F865E8"/>
    <w:rsid w:val="00F87576"/>
    <w:rsid w:val="00F91913"/>
    <w:rsid w:val="00F9359C"/>
    <w:rsid w:val="00F943B9"/>
    <w:rsid w:val="00F9506A"/>
    <w:rsid w:val="00F952C0"/>
    <w:rsid w:val="00F962A9"/>
    <w:rsid w:val="00F970DC"/>
    <w:rsid w:val="00FA1EF8"/>
    <w:rsid w:val="00FA2A9D"/>
    <w:rsid w:val="00FA6ADD"/>
    <w:rsid w:val="00FA6C5D"/>
    <w:rsid w:val="00FA6D0F"/>
    <w:rsid w:val="00FB12EB"/>
    <w:rsid w:val="00FB270A"/>
    <w:rsid w:val="00FB5259"/>
    <w:rsid w:val="00FB6F85"/>
    <w:rsid w:val="00FC0A59"/>
    <w:rsid w:val="00FC23E6"/>
    <w:rsid w:val="00FD44E7"/>
    <w:rsid w:val="00FD4736"/>
    <w:rsid w:val="00FD5586"/>
    <w:rsid w:val="00FE0172"/>
    <w:rsid w:val="00FE2CC6"/>
    <w:rsid w:val="00FE3AB4"/>
    <w:rsid w:val="00FE7A05"/>
    <w:rsid w:val="00FF3376"/>
    <w:rsid w:val="00FF7320"/>
    <w:rsid w:val="00FF7D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801218E-112D-45BB-B36A-1CEA89283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95128"/>
    <w:rPr>
      <w:rFonts w:ascii="Times New Roman" w:eastAsia="Times New Roman" w:hAnsi="Times New Roman"/>
      <w:lang w:eastAsia="en-US"/>
    </w:rPr>
  </w:style>
  <w:style w:type="paragraph" w:styleId="Nadpis1">
    <w:name w:val="heading 1"/>
    <w:basedOn w:val="Normlny"/>
    <w:next w:val="Normlny"/>
    <w:link w:val="Nadpis1Char"/>
    <w:qFormat/>
    <w:rsid w:val="00E95128"/>
    <w:pPr>
      <w:keepNext/>
      <w:numPr>
        <w:numId w:val="1"/>
      </w:numPr>
      <w:outlineLvl w:val="0"/>
    </w:pPr>
    <w:rPr>
      <w:b/>
      <w:caps/>
      <w:sz w:val="18"/>
    </w:rPr>
  </w:style>
  <w:style w:type="paragraph" w:styleId="Nadpis2">
    <w:name w:val="heading 2"/>
    <w:basedOn w:val="Normlny"/>
    <w:next w:val="Normlny"/>
    <w:link w:val="Nadpis2Char"/>
    <w:qFormat/>
    <w:rsid w:val="00E95128"/>
    <w:pPr>
      <w:keepNext/>
      <w:numPr>
        <w:numId w:val="13"/>
      </w:numPr>
      <w:outlineLvl w:val="1"/>
    </w:pPr>
    <w:rPr>
      <w:b/>
      <w:sz w:val="18"/>
    </w:rPr>
  </w:style>
  <w:style w:type="paragraph" w:styleId="Nadpis6">
    <w:name w:val="heading 6"/>
    <w:basedOn w:val="Normlny"/>
    <w:next w:val="Normlny"/>
    <w:link w:val="Nadpis6Char"/>
    <w:qFormat/>
    <w:rsid w:val="00E95128"/>
    <w:pPr>
      <w:keepNext/>
      <w:outlineLvl w:val="5"/>
    </w:pPr>
    <w:rPr>
      <w:b/>
      <w:caps/>
      <w:sz w:val="32"/>
    </w:rPr>
  </w:style>
  <w:style w:type="paragraph" w:styleId="Nadpis9">
    <w:name w:val="heading 9"/>
    <w:basedOn w:val="Normlny"/>
    <w:next w:val="Normlny"/>
    <w:link w:val="Nadpis9Char"/>
    <w:uiPriority w:val="9"/>
    <w:semiHidden/>
    <w:unhideWhenUsed/>
    <w:qFormat/>
    <w:rsid w:val="003E0FA2"/>
    <w:pPr>
      <w:keepNext/>
      <w:keepLines/>
      <w:spacing w:before="200"/>
      <w:outlineLvl w:val="8"/>
    </w:pPr>
    <w:rPr>
      <w:rFonts w:ascii="Cambria" w:hAnsi="Cambria"/>
      <w:i/>
      <w:iCs/>
      <w:color w:val="40404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E95128"/>
    <w:pPr>
      <w:tabs>
        <w:tab w:val="center" w:pos="4536"/>
        <w:tab w:val="right" w:pos="9072"/>
      </w:tabs>
    </w:pPr>
  </w:style>
  <w:style w:type="character" w:customStyle="1" w:styleId="HlavikaChar">
    <w:name w:val="Hlavička Char"/>
    <w:basedOn w:val="Predvolenpsmoodseku"/>
    <w:link w:val="Hlavika"/>
    <w:semiHidden/>
    <w:rsid w:val="00E95128"/>
  </w:style>
  <w:style w:type="paragraph" w:styleId="Pta">
    <w:name w:val="footer"/>
    <w:basedOn w:val="Normlny"/>
    <w:link w:val="PtaChar"/>
    <w:uiPriority w:val="99"/>
    <w:unhideWhenUsed/>
    <w:rsid w:val="00E95128"/>
    <w:pPr>
      <w:tabs>
        <w:tab w:val="center" w:pos="4536"/>
        <w:tab w:val="right" w:pos="9072"/>
      </w:tabs>
    </w:pPr>
  </w:style>
  <w:style w:type="character" w:customStyle="1" w:styleId="PtaChar">
    <w:name w:val="Päta Char"/>
    <w:basedOn w:val="Predvolenpsmoodseku"/>
    <w:link w:val="Pta"/>
    <w:uiPriority w:val="99"/>
    <w:rsid w:val="00E95128"/>
  </w:style>
  <w:style w:type="character" w:styleId="slostrany">
    <w:name w:val="page number"/>
    <w:basedOn w:val="Predvolenpsmoodseku"/>
    <w:rsid w:val="00E95128"/>
    <w:rPr>
      <w:rFonts w:cs="Times New Roman"/>
    </w:rPr>
  </w:style>
  <w:style w:type="character" w:customStyle="1" w:styleId="Nadpis1Char">
    <w:name w:val="Nadpis 1 Char"/>
    <w:basedOn w:val="Predvolenpsmoodseku"/>
    <w:link w:val="Nadpis1"/>
    <w:rsid w:val="00E95128"/>
    <w:rPr>
      <w:rFonts w:ascii="Times New Roman" w:eastAsia="Times New Roman" w:hAnsi="Times New Roman" w:cs="Times New Roman"/>
      <w:b/>
      <w:caps/>
      <w:sz w:val="18"/>
      <w:szCs w:val="20"/>
    </w:rPr>
  </w:style>
  <w:style w:type="character" w:customStyle="1" w:styleId="Nadpis2Char">
    <w:name w:val="Nadpis 2 Char"/>
    <w:basedOn w:val="Predvolenpsmoodseku"/>
    <w:link w:val="Nadpis2"/>
    <w:rsid w:val="00E95128"/>
    <w:rPr>
      <w:rFonts w:ascii="Times New Roman" w:eastAsia="Times New Roman" w:hAnsi="Times New Roman" w:cs="Times New Roman"/>
      <w:b/>
      <w:sz w:val="18"/>
      <w:szCs w:val="20"/>
    </w:rPr>
  </w:style>
  <w:style w:type="character" w:customStyle="1" w:styleId="Nadpis6Char">
    <w:name w:val="Nadpis 6 Char"/>
    <w:basedOn w:val="Predvolenpsmoodseku"/>
    <w:link w:val="Nadpis6"/>
    <w:rsid w:val="00E95128"/>
    <w:rPr>
      <w:rFonts w:ascii="Times New Roman" w:eastAsia="Times New Roman" w:hAnsi="Times New Roman" w:cs="Times New Roman"/>
      <w:b/>
      <w:caps/>
      <w:sz w:val="32"/>
      <w:szCs w:val="20"/>
    </w:rPr>
  </w:style>
  <w:style w:type="paragraph" w:styleId="Zkladntext">
    <w:name w:val="Body Text"/>
    <w:basedOn w:val="Normlny"/>
    <w:link w:val="ZkladntextChar"/>
    <w:rsid w:val="00E95128"/>
    <w:pPr>
      <w:ind w:left="426"/>
      <w:jc w:val="both"/>
    </w:pPr>
    <w:rPr>
      <w:sz w:val="18"/>
    </w:rPr>
  </w:style>
  <w:style w:type="character" w:customStyle="1" w:styleId="ZkladntextChar">
    <w:name w:val="Základný text Char"/>
    <w:basedOn w:val="Predvolenpsmoodseku"/>
    <w:link w:val="Zkladntext"/>
    <w:rsid w:val="00E95128"/>
    <w:rPr>
      <w:rFonts w:ascii="Times New Roman" w:eastAsia="Times New Roman" w:hAnsi="Times New Roman" w:cs="Times New Roman"/>
      <w:sz w:val="18"/>
      <w:szCs w:val="20"/>
    </w:rPr>
  </w:style>
  <w:style w:type="paragraph" w:customStyle="1" w:styleId="Uvod">
    <w:name w:val="Uvod"/>
    <w:basedOn w:val="Normlny"/>
    <w:rsid w:val="00E95128"/>
    <w:pPr>
      <w:ind w:left="284" w:hanging="284"/>
      <w:jc w:val="both"/>
    </w:pPr>
    <w:rPr>
      <w:sz w:val="22"/>
    </w:rPr>
  </w:style>
  <w:style w:type="character" w:styleId="Odkaznapoznmkupodiarou">
    <w:name w:val="footnote reference"/>
    <w:basedOn w:val="Predvolenpsmoodseku"/>
    <w:semiHidden/>
    <w:rsid w:val="00E95128"/>
    <w:rPr>
      <w:rFonts w:cs="Times New Roman"/>
      <w:position w:val="6"/>
      <w:sz w:val="16"/>
      <w:szCs w:val="16"/>
    </w:rPr>
  </w:style>
  <w:style w:type="paragraph" w:customStyle="1" w:styleId="lita">
    <w:name w:val="lit_a"/>
    <w:basedOn w:val="Normlny"/>
    <w:rsid w:val="00E95128"/>
    <w:pPr>
      <w:spacing w:after="20"/>
      <w:ind w:left="624" w:hanging="340"/>
      <w:jc w:val="both"/>
    </w:pPr>
    <w:rPr>
      <w:rFonts w:ascii="Times" w:hAnsi="Times"/>
      <w:lang w:val="en-US"/>
    </w:rPr>
  </w:style>
  <w:style w:type="paragraph" w:customStyle="1" w:styleId="zif">
    <w:name w:val="zif"/>
    <w:basedOn w:val="Normlny"/>
    <w:link w:val="zifChar"/>
    <w:rsid w:val="00E95128"/>
    <w:pPr>
      <w:tabs>
        <w:tab w:val="left" w:pos="620"/>
      </w:tabs>
      <w:spacing w:after="80"/>
      <w:jc w:val="both"/>
    </w:pPr>
    <w:rPr>
      <w:rFonts w:ascii="Times" w:hAnsi="Times"/>
      <w:lang w:val="en-US"/>
    </w:rPr>
  </w:style>
  <w:style w:type="character" w:customStyle="1" w:styleId="zifChar">
    <w:name w:val="zif Char"/>
    <w:basedOn w:val="Predvolenpsmoodseku"/>
    <w:link w:val="zif"/>
    <w:locked/>
    <w:rsid w:val="00E95128"/>
    <w:rPr>
      <w:rFonts w:ascii="Times" w:eastAsia="Times New Roman" w:hAnsi="Times" w:cs="Times New Roman"/>
      <w:sz w:val="20"/>
      <w:szCs w:val="20"/>
      <w:lang w:val="en-US"/>
    </w:rPr>
  </w:style>
  <w:style w:type="paragraph" w:styleId="Odsekzoznamu">
    <w:name w:val="List Paragraph"/>
    <w:basedOn w:val="Normlny"/>
    <w:qFormat/>
    <w:rsid w:val="00E95128"/>
    <w:pPr>
      <w:ind w:left="708"/>
    </w:pPr>
  </w:style>
  <w:style w:type="paragraph" w:customStyle="1" w:styleId="Tabulka">
    <w:name w:val="Tabulka"/>
    <w:basedOn w:val="Normlny"/>
    <w:rsid w:val="00160AAA"/>
    <w:rPr>
      <w:color w:val="000000"/>
      <w:sz w:val="18"/>
    </w:rPr>
  </w:style>
  <w:style w:type="paragraph" w:customStyle="1" w:styleId="Pismenka">
    <w:name w:val="Pismenka"/>
    <w:basedOn w:val="Zkladntext"/>
    <w:rsid w:val="00160AAA"/>
    <w:pPr>
      <w:numPr>
        <w:numId w:val="7"/>
      </w:numPr>
      <w:tabs>
        <w:tab w:val="clear" w:pos="360"/>
        <w:tab w:val="num" w:pos="426"/>
      </w:tabs>
      <w:ind w:hanging="426"/>
    </w:pPr>
    <w:rPr>
      <w:b/>
    </w:rPr>
  </w:style>
  <w:style w:type="character" w:customStyle="1" w:styleId="Nadpis9Char">
    <w:name w:val="Nadpis 9 Char"/>
    <w:basedOn w:val="Predvolenpsmoodseku"/>
    <w:link w:val="Nadpis9"/>
    <w:semiHidden/>
    <w:rsid w:val="003E0FA2"/>
    <w:rPr>
      <w:rFonts w:ascii="Cambria" w:eastAsia="Times New Roman" w:hAnsi="Cambria" w:cs="Times New Roman"/>
      <w:i/>
      <w:iCs/>
      <w:color w:val="404040"/>
      <w:sz w:val="20"/>
      <w:szCs w:val="20"/>
    </w:rPr>
  </w:style>
  <w:style w:type="paragraph" w:styleId="Textbubliny">
    <w:name w:val="Balloon Text"/>
    <w:basedOn w:val="Normlny"/>
    <w:link w:val="TextbublinyChar"/>
    <w:uiPriority w:val="99"/>
    <w:semiHidden/>
    <w:unhideWhenUsed/>
    <w:rsid w:val="004B69E1"/>
    <w:rPr>
      <w:rFonts w:ascii="Tahoma" w:hAnsi="Tahoma" w:cs="Tahoma"/>
      <w:sz w:val="16"/>
      <w:szCs w:val="16"/>
    </w:rPr>
  </w:style>
  <w:style w:type="character" w:customStyle="1" w:styleId="TextbublinyChar">
    <w:name w:val="Text bubliny Char"/>
    <w:basedOn w:val="Predvolenpsmoodseku"/>
    <w:link w:val="Textbubliny"/>
    <w:uiPriority w:val="99"/>
    <w:semiHidden/>
    <w:rsid w:val="004B69E1"/>
    <w:rPr>
      <w:rFonts w:ascii="Tahoma" w:eastAsia="Times New Roman" w:hAnsi="Tahoma" w:cs="Tahoma"/>
      <w:sz w:val="16"/>
      <w:szCs w:val="16"/>
    </w:rPr>
  </w:style>
  <w:style w:type="character" w:styleId="Odkaznakomentr">
    <w:name w:val="annotation reference"/>
    <w:basedOn w:val="Predvolenpsmoodseku"/>
    <w:uiPriority w:val="99"/>
    <w:semiHidden/>
    <w:unhideWhenUsed/>
    <w:rsid w:val="00DC3C8C"/>
    <w:rPr>
      <w:sz w:val="16"/>
      <w:szCs w:val="16"/>
    </w:rPr>
  </w:style>
  <w:style w:type="paragraph" w:styleId="Textkomentra">
    <w:name w:val="annotation text"/>
    <w:basedOn w:val="Normlny"/>
    <w:link w:val="TextkomentraChar"/>
    <w:uiPriority w:val="99"/>
    <w:semiHidden/>
    <w:unhideWhenUsed/>
    <w:rsid w:val="00DC3C8C"/>
  </w:style>
  <w:style w:type="character" w:customStyle="1" w:styleId="TextkomentraChar">
    <w:name w:val="Text komentára Char"/>
    <w:basedOn w:val="Predvolenpsmoodseku"/>
    <w:link w:val="Textkomentra"/>
    <w:uiPriority w:val="99"/>
    <w:semiHidden/>
    <w:rsid w:val="00DC3C8C"/>
    <w:rPr>
      <w:rFonts w:ascii="Times New Roman" w:eastAsia="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DC3C8C"/>
    <w:rPr>
      <w:b/>
      <w:bCs/>
    </w:rPr>
  </w:style>
  <w:style w:type="character" w:customStyle="1" w:styleId="PredmetkomentraChar">
    <w:name w:val="Predmet komentára Char"/>
    <w:basedOn w:val="TextkomentraChar"/>
    <w:link w:val="Predmetkomentra"/>
    <w:uiPriority w:val="99"/>
    <w:semiHidden/>
    <w:rsid w:val="00DC3C8C"/>
    <w:rPr>
      <w:rFonts w:ascii="Times New Roman" w:eastAsia="Times New Roman" w:hAnsi="Times New Roman"/>
      <w:b/>
      <w:bCs/>
      <w:lang w:eastAsia="en-US"/>
    </w:rPr>
  </w:style>
  <w:style w:type="character" w:styleId="Hypertextovprepojenie">
    <w:name w:val="Hyperlink"/>
    <w:basedOn w:val="Predvolenpsmoodseku"/>
    <w:uiPriority w:val="99"/>
    <w:unhideWhenUsed/>
    <w:rsid w:val="00DC3C8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1570905">
      <w:bodyDiv w:val="1"/>
      <w:marLeft w:val="0"/>
      <w:marRight w:val="0"/>
      <w:marTop w:val="0"/>
      <w:marBottom w:val="0"/>
      <w:divBdr>
        <w:top w:val="none" w:sz="0" w:space="0" w:color="auto"/>
        <w:left w:val="none" w:sz="0" w:space="0" w:color="auto"/>
        <w:bottom w:val="none" w:sz="0" w:space="0" w:color="auto"/>
        <w:right w:val="none" w:sz="0" w:space="0" w:color="auto"/>
      </w:divBdr>
    </w:div>
    <w:div w:id="372731025">
      <w:bodyDiv w:val="1"/>
      <w:marLeft w:val="0"/>
      <w:marRight w:val="0"/>
      <w:marTop w:val="0"/>
      <w:marBottom w:val="0"/>
      <w:divBdr>
        <w:top w:val="none" w:sz="0" w:space="0" w:color="auto"/>
        <w:left w:val="none" w:sz="0" w:space="0" w:color="auto"/>
        <w:bottom w:val="none" w:sz="0" w:space="0" w:color="auto"/>
        <w:right w:val="none" w:sz="0" w:space="0" w:color="auto"/>
      </w:divBdr>
    </w:div>
    <w:div w:id="529299698">
      <w:bodyDiv w:val="1"/>
      <w:marLeft w:val="0"/>
      <w:marRight w:val="0"/>
      <w:marTop w:val="0"/>
      <w:marBottom w:val="0"/>
      <w:divBdr>
        <w:top w:val="none" w:sz="0" w:space="0" w:color="auto"/>
        <w:left w:val="none" w:sz="0" w:space="0" w:color="auto"/>
        <w:bottom w:val="none" w:sz="0" w:space="0" w:color="auto"/>
        <w:right w:val="none" w:sz="0" w:space="0" w:color="auto"/>
      </w:divBdr>
    </w:div>
    <w:div w:id="696349261">
      <w:bodyDiv w:val="1"/>
      <w:marLeft w:val="0"/>
      <w:marRight w:val="0"/>
      <w:marTop w:val="0"/>
      <w:marBottom w:val="0"/>
      <w:divBdr>
        <w:top w:val="none" w:sz="0" w:space="0" w:color="auto"/>
        <w:left w:val="none" w:sz="0" w:space="0" w:color="auto"/>
        <w:bottom w:val="none" w:sz="0" w:space="0" w:color="auto"/>
        <w:right w:val="none" w:sz="0" w:space="0" w:color="auto"/>
      </w:divBdr>
    </w:div>
    <w:div w:id="716658605">
      <w:bodyDiv w:val="1"/>
      <w:marLeft w:val="0"/>
      <w:marRight w:val="0"/>
      <w:marTop w:val="0"/>
      <w:marBottom w:val="0"/>
      <w:divBdr>
        <w:top w:val="none" w:sz="0" w:space="0" w:color="auto"/>
        <w:left w:val="none" w:sz="0" w:space="0" w:color="auto"/>
        <w:bottom w:val="none" w:sz="0" w:space="0" w:color="auto"/>
        <w:right w:val="none" w:sz="0" w:space="0" w:color="auto"/>
      </w:divBdr>
    </w:div>
    <w:div w:id="729306733">
      <w:bodyDiv w:val="1"/>
      <w:marLeft w:val="0"/>
      <w:marRight w:val="0"/>
      <w:marTop w:val="0"/>
      <w:marBottom w:val="0"/>
      <w:divBdr>
        <w:top w:val="none" w:sz="0" w:space="0" w:color="auto"/>
        <w:left w:val="none" w:sz="0" w:space="0" w:color="auto"/>
        <w:bottom w:val="none" w:sz="0" w:space="0" w:color="auto"/>
        <w:right w:val="none" w:sz="0" w:space="0" w:color="auto"/>
      </w:divBdr>
    </w:div>
    <w:div w:id="912356451">
      <w:bodyDiv w:val="1"/>
      <w:marLeft w:val="0"/>
      <w:marRight w:val="0"/>
      <w:marTop w:val="0"/>
      <w:marBottom w:val="0"/>
      <w:divBdr>
        <w:top w:val="none" w:sz="0" w:space="0" w:color="auto"/>
        <w:left w:val="none" w:sz="0" w:space="0" w:color="auto"/>
        <w:bottom w:val="none" w:sz="0" w:space="0" w:color="auto"/>
        <w:right w:val="none" w:sz="0" w:space="0" w:color="auto"/>
      </w:divBdr>
    </w:div>
    <w:div w:id="1266307394">
      <w:bodyDiv w:val="1"/>
      <w:marLeft w:val="0"/>
      <w:marRight w:val="0"/>
      <w:marTop w:val="0"/>
      <w:marBottom w:val="0"/>
      <w:divBdr>
        <w:top w:val="none" w:sz="0" w:space="0" w:color="auto"/>
        <w:left w:val="none" w:sz="0" w:space="0" w:color="auto"/>
        <w:bottom w:val="none" w:sz="0" w:space="0" w:color="auto"/>
        <w:right w:val="none" w:sz="0" w:space="0" w:color="auto"/>
      </w:divBdr>
    </w:div>
    <w:div w:id="1296637138">
      <w:bodyDiv w:val="1"/>
      <w:marLeft w:val="0"/>
      <w:marRight w:val="0"/>
      <w:marTop w:val="0"/>
      <w:marBottom w:val="0"/>
      <w:divBdr>
        <w:top w:val="none" w:sz="0" w:space="0" w:color="auto"/>
        <w:left w:val="none" w:sz="0" w:space="0" w:color="auto"/>
        <w:bottom w:val="none" w:sz="0" w:space="0" w:color="auto"/>
        <w:right w:val="none" w:sz="0" w:space="0" w:color="auto"/>
      </w:divBdr>
    </w:div>
    <w:div w:id="1326128379">
      <w:bodyDiv w:val="1"/>
      <w:marLeft w:val="0"/>
      <w:marRight w:val="0"/>
      <w:marTop w:val="0"/>
      <w:marBottom w:val="0"/>
      <w:divBdr>
        <w:top w:val="none" w:sz="0" w:space="0" w:color="auto"/>
        <w:left w:val="none" w:sz="0" w:space="0" w:color="auto"/>
        <w:bottom w:val="none" w:sz="0" w:space="0" w:color="auto"/>
        <w:right w:val="none" w:sz="0" w:space="0" w:color="auto"/>
      </w:divBdr>
    </w:div>
    <w:div w:id="1592352802">
      <w:bodyDiv w:val="1"/>
      <w:marLeft w:val="0"/>
      <w:marRight w:val="0"/>
      <w:marTop w:val="0"/>
      <w:marBottom w:val="0"/>
      <w:divBdr>
        <w:top w:val="none" w:sz="0" w:space="0" w:color="auto"/>
        <w:left w:val="none" w:sz="0" w:space="0" w:color="auto"/>
        <w:bottom w:val="none" w:sz="0" w:space="0" w:color="auto"/>
        <w:right w:val="none" w:sz="0" w:space="0" w:color="auto"/>
      </w:divBdr>
    </w:div>
    <w:div w:id="1723943725">
      <w:bodyDiv w:val="1"/>
      <w:marLeft w:val="0"/>
      <w:marRight w:val="0"/>
      <w:marTop w:val="0"/>
      <w:marBottom w:val="0"/>
      <w:divBdr>
        <w:top w:val="none" w:sz="0" w:space="0" w:color="auto"/>
        <w:left w:val="none" w:sz="0" w:space="0" w:color="auto"/>
        <w:bottom w:val="none" w:sz="0" w:space="0" w:color="auto"/>
        <w:right w:val="none" w:sz="0" w:space="0" w:color="auto"/>
      </w:divBdr>
    </w:div>
    <w:div w:id="1743405417">
      <w:bodyDiv w:val="1"/>
      <w:marLeft w:val="0"/>
      <w:marRight w:val="0"/>
      <w:marTop w:val="0"/>
      <w:marBottom w:val="0"/>
      <w:divBdr>
        <w:top w:val="none" w:sz="0" w:space="0" w:color="auto"/>
        <w:left w:val="none" w:sz="0" w:space="0" w:color="auto"/>
        <w:bottom w:val="none" w:sz="0" w:space="0" w:color="auto"/>
        <w:right w:val="none" w:sz="0" w:space="0" w:color="auto"/>
      </w:divBdr>
    </w:div>
    <w:div w:id="1847675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package" Target="embeddings/Microsoft_Excel_Worksheet3.xlsx"/><Relationship Id="rId18" Type="http://schemas.openxmlformats.org/officeDocument/2006/relationships/image" Target="media/image6.emf"/><Relationship Id="rId26" Type="http://schemas.openxmlformats.org/officeDocument/2006/relationships/image" Target="media/image10.emf"/><Relationship Id="rId39" Type="http://schemas.openxmlformats.org/officeDocument/2006/relationships/package" Target="embeddings/Microsoft_Excel_Worksheet16.xlsx"/><Relationship Id="rId21" Type="http://schemas.openxmlformats.org/officeDocument/2006/relationships/package" Target="embeddings/Microsoft_Excel_Worksheet7.xlsx"/><Relationship Id="rId34" Type="http://schemas.openxmlformats.org/officeDocument/2006/relationships/image" Target="media/image14.emf"/><Relationship Id="rId42" Type="http://schemas.openxmlformats.org/officeDocument/2006/relationships/image" Target="media/image18.emf"/><Relationship Id="rId47" Type="http://schemas.openxmlformats.org/officeDocument/2006/relationships/package" Target="embeddings/Microsoft_Excel_Worksheet20.xlsx"/><Relationship Id="rId50" Type="http://schemas.openxmlformats.org/officeDocument/2006/relationships/image" Target="media/image22.emf"/><Relationship Id="rId55" Type="http://schemas.openxmlformats.org/officeDocument/2006/relationships/package" Target="embeddings/Microsoft_Excel_Worksheet24.xlsx"/><Relationship Id="rId63" Type="http://schemas.openxmlformats.org/officeDocument/2006/relationships/package" Target="embeddings/Microsoft_Excel_Worksheet28.xlsx"/><Relationship Id="rId68" Type="http://schemas.openxmlformats.org/officeDocument/2006/relationships/image" Target="media/image31.emf"/><Relationship Id="rId7" Type="http://schemas.openxmlformats.org/officeDocument/2006/relationships/endnotes" Target="endnotes.xml"/><Relationship Id="rId71"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emf"/><Relationship Id="rId29" Type="http://schemas.openxmlformats.org/officeDocument/2006/relationships/package" Target="embeddings/Microsoft_Excel_Worksheet11.xlsx"/><Relationship Id="rId11" Type="http://schemas.openxmlformats.org/officeDocument/2006/relationships/package" Target="embeddings/Microsoft_Excel_Worksheet2.xlsx"/><Relationship Id="rId24" Type="http://schemas.openxmlformats.org/officeDocument/2006/relationships/image" Target="media/image9.emf"/><Relationship Id="rId32" Type="http://schemas.openxmlformats.org/officeDocument/2006/relationships/image" Target="media/image13.emf"/><Relationship Id="rId37" Type="http://schemas.openxmlformats.org/officeDocument/2006/relationships/package" Target="embeddings/Microsoft_Excel_Worksheet15.xlsx"/><Relationship Id="rId40" Type="http://schemas.openxmlformats.org/officeDocument/2006/relationships/image" Target="media/image17.emf"/><Relationship Id="rId45" Type="http://schemas.openxmlformats.org/officeDocument/2006/relationships/package" Target="embeddings/Microsoft_Excel_Worksheet19.xlsx"/><Relationship Id="rId53" Type="http://schemas.openxmlformats.org/officeDocument/2006/relationships/package" Target="embeddings/Microsoft_Excel_Worksheet23.xlsx"/><Relationship Id="rId58" Type="http://schemas.openxmlformats.org/officeDocument/2006/relationships/image" Target="media/image26.emf"/><Relationship Id="rId66" Type="http://schemas.openxmlformats.org/officeDocument/2006/relationships/image" Target="media/image30.emf"/><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package" Target="embeddings/Microsoft_Excel_Worksheet4.xlsx"/><Relationship Id="rId23" Type="http://schemas.openxmlformats.org/officeDocument/2006/relationships/package" Target="embeddings/Microsoft_Excel_Worksheet8.xlsx"/><Relationship Id="rId28" Type="http://schemas.openxmlformats.org/officeDocument/2006/relationships/image" Target="media/image11.emf"/><Relationship Id="rId36" Type="http://schemas.openxmlformats.org/officeDocument/2006/relationships/image" Target="media/image15.emf"/><Relationship Id="rId49" Type="http://schemas.openxmlformats.org/officeDocument/2006/relationships/package" Target="embeddings/Microsoft_Excel_Worksheet21.xlsx"/><Relationship Id="rId57" Type="http://schemas.openxmlformats.org/officeDocument/2006/relationships/package" Target="embeddings/Microsoft_Excel_Worksheet25.xlsx"/><Relationship Id="rId61" Type="http://schemas.openxmlformats.org/officeDocument/2006/relationships/package" Target="embeddings/Microsoft_Excel_Worksheet27.xlsx"/><Relationship Id="rId10" Type="http://schemas.openxmlformats.org/officeDocument/2006/relationships/image" Target="media/image2.emf"/><Relationship Id="rId19" Type="http://schemas.openxmlformats.org/officeDocument/2006/relationships/package" Target="embeddings/Microsoft_Excel_Worksheet6.xlsx"/><Relationship Id="rId31" Type="http://schemas.openxmlformats.org/officeDocument/2006/relationships/package" Target="embeddings/Microsoft_Excel_Worksheet12.xlsx"/><Relationship Id="rId44" Type="http://schemas.openxmlformats.org/officeDocument/2006/relationships/image" Target="media/image19.emf"/><Relationship Id="rId52" Type="http://schemas.openxmlformats.org/officeDocument/2006/relationships/image" Target="media/image23.emf"/><Relationship Id="rId60" Type="http://schemas.openxmlformats.org/officeDocument/2006/relationships/image" Target="media/image27.emf"/><Relationship Id="rId65" Type="http://schemas.openxmlformats.org/officeDocument/2006/relationships/package" Target="embeddings/Microsoft_Excel_Worksheet29.xlsx"/><Relationship Id="rId73" Type="http://schemas.openxmlformats.org/officeDocument/2006/relationships/footer" Target="footer2.xml"/><Relationship Id="rId4" Type="http://schemas.openxmlformats.org/officeDocument/2006/relationships/settings" Target="settings.xml"/><Relationship Id="rId9" Type="http://schemas.openxmlformats.org/officeDocument/2006/relationships/package" Target="embeddings/Microsoft_Excel_Worksheet1.xlsx"/><Relationship Id="rId14" Type="http://schemas.openxmlformats.org/officeDocument/2006/relationships/image" Target="media/image4.emf"/><Relationship Id="rId22" Type="http://schemas.openxmlformats.org/officeDocument/2006/relationships/image" Target="media/image8.emf"/><Relationship Id="rId27" Type="http://schemas.openxmlformats.org/officeDocument/2006/relationships/package" Target="embeddings/Microsoft_Excel_Worksheet10.xlsx"/><Relationship Id="rId30" Type="http://schemas.openxmlformats.org/officeDocument/2006/relationships/image" Target="media/image12.emf"/><Relationship Id="rId35" Type="http://schemas.openxmlformats.org/officeDocument/2006/relationships/package" Target="embeddings/Microsoft_Excel_Worksheet14.xlsx"/><Relationship Id="rId43" Type="http://schemas.openxmlformats.org/officeDocument/2006/relationships/package" Target="embeddings/Microsoft_Excel_Worksheet18.xlsx"/><Relationship Id="rId48" Type="http://schemas.openxmlformats.org/officeDocument/2006/relationships/image" Target="media/image21.emf"/><Relationship Id="rId56" Type="http://schemas.openxmlformats.org/officeDocument/2006/relationships/image" Target="media/image25.emf"/><Relationship Id="rId64" Type="http://schemas.openxmlformats.org/officeDocument/2006/relationships/image" Target="media/image29.emf"/><Relationship Id="rId69" Type="http://schemas.openxmlformats.org/officeDocument/2006/relationships/package" Target="embeddings/Microsoft_Excel_Worksheet31.xlsx"/><Relationship Id="rId8" Type="http://schemas.openxmlformats.org/officeDocument/2006/relationships/image" Target="media/image1.emf"/><Relationship Id="rId51" Type="http://schemas.openxmlformats.org/officeDocument/2006/relationships/package" Target="embeddings/Microsoft_Excel_Worksheet22.xlsx"/><Relationship Id="rId72" Type="http://schemas.openxmlformats.org/officeDocument/2006/relationships/header" Target="header2.xml"/><Relationship Id="rId3" Type="http://schemas.openxmlformats.org/officeDocument/2006/relationships/styles" Target="styles.xml"/><Relationship Id="rId12" Type="http://schemas.openxmlformats.org/officeDocument/2006/relationships/image" Target="media/image3.emf"/><Relationship Id="rId17" Type="http://schemas.openxmlformats.org/officeDocument/2006/relationships/package" Target="embeddings/Microsoft_Excel_Worksheet5.xlsx"/><Relationship Id="rId25" Type="http://schemas.openxmlformats.org/officeDocument/2006/relationships/package" Target="embeddings/Microsoft_Excel_Worksheet9.xlsx"/><Relationship Id="rId33" Type="http://schemas.openxmlformats.org/officeDocument/2006/relationships/package" Target="embeddings/Microsoft_Excel_Worksheet13.xlsx"/><Relationship Id="rId38" Type="http://schemas.openxmlformats.org/officeDocument/2006/relationships/image" Target="media/image16.emf"/><Relationship Id="rId46" Type="http://schemas.openxmlformats.org/officeDocument/2006/relationships/image" Target="media/image20.emf"/><Relationship Id="rId59" Type="http://schemas.openxmlformats.org/officeDocument/2006/relationships/package" Target="embeddings/Microsoft_Excel_Worksheet26.xlsx"/><Relationship Id="rId67" Type="http://schemas.openxmlformats.org/officeDocument/2006/relationships/package" Target="embeddings/Microsoft_Excel_Worksheet30.xlsx"/><Relationship Id="rId20" Type="http://schemas.openxmlformats.org/officeDocument/2006/relationships/image" Target="media/image7.emf"/><Relationship Id="rId41" Type="http://schemas.openxmlformats.org/officeDocument/2006/relationships/package" Target="embeddings/Microsoft_Excel_Worksheet17.xlsx"/><Relationship Id="rId54" Type="http://schemas.openxmlformats.org/officeDocument/2006/relationships/image" Target="media/image24.emf"/><Relationship Id="rId62" Type="http://schemas.openxmlformats.org/officeDocument/2006/relationships/image" Target="media/image28.emf"/><Relationship Id="rId70" Type="http://schemas.openxmlformats.org/officeDocument/2006/relationships/header" Target="header1.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BCF31E-155C-4A29-8DFA-4B52EE016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Pages>
  <Words>3891</Words>
  <Characters>22182</Characters>
  <Application>Microsoft Office Word</Application>
  <DocSecurity>0</DocSecurity>
  <Lines>184</Lines>
  <Paragraphs>52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KPMG</Company>
  <LinksUpToDate>false</LinksUpToDate>
  <CharactersWithSpaces>26021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lstankovits</dc:creator>
  <cp:lastModifiedBy>Miriam Slimáková</cp:lastModifiedBy>
  <cp:revision>18</cp:revision>
  <cp:lastPrinted>2018-05-07T11:44:00Z</cp:lastPrinted>
  <dcterms:created xsi:type="dcterms:W3CDTF">2018-04-03T15:41:00Z</dcterms:created>
  <dcterms:modified xsi:type="dcterms:W3CDTF">2018-05-07T11:44:00Z</dcterms:modified>
</cp:coreProperties>
</file>